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E3" w:rsidRPr="006200E3" w:rsidRDefault="006200E3" w:rsidP="006200E3">
      <w:pPr>
        <w:widowControl/>
        <w:shd w:val="clear" w:color="auto" w:fill="FFFFFF"/>
        <w:spacing w:line="525" w:lineRule="atLeast"/>
        <w:jc w:val="center"/>
        <w:rPr>
          <w:rFonts w:ascii="华文细黑" w:eastAsia="华文细黑" w:hAnsi="华文细黑" w:cs="宋体"/>
          <w:color w:val="91181D"/>
          <w:kern w:val="0"/>
          <w:sz w:val="30"/>
          <w:szCs w:val="30"/>
        </w:rPr>
      </w:pPr>
      <w:r w:rsidRPr="006200E3">
        <w:rPr>
          <w:rFonts w:ascii="华文细黑" w:eastAsia="华文细黑" w:hAnsi="华文细黑" w:cs="宋体" w:hint="eastAsia"/>
          <w:color w:val="91181D"/>
          <w:kern w:val="0"/>
          <w:sz w:val="30"/>
          <w:szCs w:val="30"/>
        </w:rPr>
        <w:t>关于做好2023年非全日制MBA硕士研究生调剂复试准备工作的通知</w:t>
      </w:r>
    </w:p>
    <w:p w:rsidR="006200E3" w:rsidRPr="006200E3" w:rsidRDefault="006200E3" w:rsidP="006200E3">
      <w:pPr>
        <w:widowControl/>
        <w:shd w:val="clear" w:color="auto" w:fill="FFFFFF"/>
        <w:spacing w:line="300" w:lineRule="atLeast"/>
        <w:jc w:val="center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华文细黑" w:eastAsia="华文细黑" w:hAnsi="华文细黑" w:cs="宋体" w:hint="eastAsia"/>
          <w:color w:val="666666"/>
          <w:kern w:val="0"/>
          <w:szCs w:val="21"/>
        </w:rPr>
        <w:t>2023年04月05日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各位考生：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根据教育部和辽宁省招考办有关文件以及东北财经大学研究生院《关于做好2023年硕士研究生调剂复试准备工作的通知》精神，经学院研究决定，我院2023年非全日制MBA硕士研究生调剂复试预计将于4月6日-7日期间采取网络远程方式开展，为确保复试顺利进行现将有关复试准备工作通知如下：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一、调剂复试时间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4月6日0:00开始研招网调剂系统开放，开始申请调剂；12:00研招网调剂系统关闭。12:00—18:00 学校会发出调剂复试邀请，考生须及时确认，然后进入复试名单，提交复试材料并接受审核（即刻起就可以提前将材料发至邮箱mbazs@dufe.edu.cn，复试材料内容参见第四部分）；18:00—19:30 网络远程复试模拟测试（研招网平台）；20:00—21:00 政治理论笔试（腾讯会议，19:45进会议室。政治理论考试参考范围与考试形式参见第五部分，政治理论笔试考生注意事项参见附件3）。4月7日8:00—12:00，13:00—16:00 远程面试。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调剂过程十分紧凑，4月6日和4月7日两天请做好充分的时间准备，保持通讯畅通，随时注意学校通知。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lastRenderedPageBreak/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二、复试平台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硕士研究生调剂复试网络平台原则上首选研招网的"远程面试系统"，备用平台为腾讯会议。考生可提前下载安装学信网App（https://www.chsi.com.cn/wap/download.jsp），同时在电子设备中安装注册备用复试平台（腾讯会议），提前熟悉使用规则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三、复试设备与网络远程复试模拟测试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1.网络远程复试原则上实行双机位，一台主设备用于正面拍摄，一台辅助设备用于侧后方拍摄。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2.考生须准备1台笔记本电脑（或台式电脑配置外接摄像头、麦克风）和1部智能手机，或准备2部智能手机。考生需同时配备用于支撑固定手机的必要设备。 复试系统支持Windows、Mac电脑以及安卓、苹果手机，iOS 用户请使用 Safari 最新版本浏览器；安卓用户请使用 Chrome 最新版本浏览器。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3. 建议主设备首选“笔记本电脑+有线网络连接”方式参加复试, 若选用无线网络或4G网络应确保网络畅通稳定，尽量不使用多人共享的无线网络。 复试期间应确保电脑连接电源，手机电量充足，设备设置为免打扰模式，关闭QQ等可能影响复试的无关应用程序。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4. 复试房间一般应设置在家里或宿舍内，应为相对封闭的独立房间，环境整洁干净、光线充足。复试房间不得设置在各类培训机构或网吧商场等场所。 具体设备、网络要求及</w:t>
      </w: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lastRenderedPageBreak/>
        <w:t>登录步骤请参考《招生远程面试系统考生操作手册》https://bm.chsi.com.cn/ycms/kssysm/。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5、模拟测试将采取排队方式。考生须准备本人身份证和准考证。我院将委托老师对每位考生进行连线测试，帮助考生体验面试场景，了解考生机位设置及复试环境情况，每个考生模拟测试时间原则上不超过3分钟。如考生登录后前方有排队，请耐心等待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6、测试期间如发生设备或网络故障，请耐心操作，重新登录进入，如已有其他学生正在测试，请等候该学生完成测试后再继续测试，并确认后续操作程序。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四、复试材料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学校将对考生资格进行线上审查，具体时间和方式以报考学院通知为准，考生可提前准备下列材料（含电子版的扫描件或清晰拍照）：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1.准考证（研招网下载）；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2.身份证（正反面）；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3.学历学位证书、教育部学历证书电子注册备案表（往届生）；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4.未通过学历（学籍）校验的须提供相关学历（学籍）认证报告；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5.考生诚信复试承诺书（附件1）;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6.品德素质与政治思想考核表（附件2）；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7.应征入伍批准书、退出现役证（退役大学生士兵加分考生）；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lastRenderedPageBreak/>
        <w:t>说明：每个材料请以“编号+材料名称”命名，做成pdf文件。如：1.准考证.pdf 。所有材料打包（以准考证号+姓名命名，如10173320000****张三.rar，10173320000****李四.zip，请控制图片质量，压缩包大小尽量不要超过10M），将材料发至邮箱mbazs@dufe.edu.cn。</w:t>
      </w:r>
    </w:p>
    <w:p w:rsidR="006200E3" w:rsidRPr="006200E3" w:rsidRDefault="006200E3" w:rsidP="006200E3">
      <w:pPr>
        <w:widowControl/>
        <w:shd w:val="clear" w:color="auto" w:fill="FFFFFF"/>
        <w:spacing w:after="150" w:line="240" w:lineRule="atLeast"/>
        <w:ind w:firstLine="480"/>
        <w:jc w:val="left"/>
        <w:rPr>
          <w:rFonts w:ascii="华文细黑" w:eastAsia="华文细黑" w:hAnsi="华文细黑" w:cs="宋体" w:hint="eastAsia"/>
          <w:color w:val="666666"/>
          <w:kern w:val="0"/>
          <w:szCs w:val="21"/>
        </w:rPr>
      </w:pP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五、其他事项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（一）政治理论考试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1.参考范围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(1)习近平：“高举中国特色社会主义伟大旗帜 为全面建设社会主义现代化国家而团结奋斗”——在中国共产党第二十次全国代表大会上的报告（2022年10月16日）；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(2)习近平：“为实现党的二十大确定的目标任务而团结奋斗”——在党的二十届一中全会上的讲话，《求是》2023年第一期；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(3)李克强：《2023年国务院政府工作报告》（2023年3月5日）。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2.试卷结构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政治理论试卷满分100分，答题时间60分钟。试卷有两种题型，简答题和论述题。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3.考试形式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考试形式为闭卷笔试。自行下载政治理论考试答题纸，在腾讯会议平台双机位监考。政治理论考试流程见附件三：政治理论笔试考生注意事项。政治理论考试答题纸见附件四。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（二）面试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lastRenderedPageBreak/>
        <w:t>每个考生复试时间为20分钟，包括专业水平测试、外语水平测试和综合情况考核。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1、专业水平测试主要考核考生专业水平以及运用理论分析问题、解决问题的能力，满分为100分。专业水平测试成绩占复试总成绩的比例为55%。测试形式包括随机抽题作答、师生互动问答等方式。每个考生回答三道题，每道题设相应分值。参考书目《管理学》（高良谋主编，东北财经大学出版社2014年第4版）考生随机抽取试题，选择试题编号后，复试考官负责将试题现场宣读，在确认考生听清后，宣布考生可以作答。答题环节以考官宣布“可以作答”开始，考生回答后以“回答完毕”结束。完成每道试题作答后，视为交卷，不得再次补充或重复答题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2、外语水平测试主要考核外语能力，包括听力和口语，满分为100分（其中听力占80%，口语占20%）。外语水平测试成绩占复试总成绩的比例为25%。形式包括英文自我介绍、师生英文互动式问答等方式。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3、综合情况考核考察考生的综合素质，包括学术能力、科研潜质、思想道德等，满分为100分。综合情况考核成绩占复试总成绩的比例为20%。通过考生自我介绍、师生互动问答等方式进行综合评价。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复试过程中，如出现网络画面卡顿时间超过30秒时，原则上应更换试题进行测试。   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 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六、信息登记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有意向调剂非全日制MBA（供应链管理与商业分析方向）的考生可通过下方小程序进行申请或登录网站</w:t>
      </w:r>
      <w:hyperlink r:id="rId5" w:history="1">
        <w:r w:rsidRPr="006200E3">
          <w:rPr>
            <w:rFonts w:ascii="微软雅黑" w:eastAsia="微软雅黑" w:hAnsi="微软雅黑" w:cs="宋体" w:hint="eastAsia"/>
            <w:color w:val="3F3F3F"/>
            <w:kern w:val="0"/>
            <w:szCs w:val="21"/>
            <w:u w:val="single"/>
          </w:rPr>
          <w:t>https://www.wenjuan.com/s/UZBZJvTD0n/</w:t>
        </w:r>
      </w:hyperlink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登记。以上信息仅作为招考意向咨询使用，不作为任何肯定行答复依据。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jc w:val="center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F3F3F"/>
          <w:kern w:val="0"/>
          <w:szCs w:val="21"/>
        </w:rPr>
        <w:lastRenderedPageBreak/>
        <w:drawing>
          <wp:inline distT="0" distB="0" distL="0" distR="0">
            <wp:extent cx="2137410" cy="2062480"/>
            <wp:effectExtent l="0" t="0" r="0" b="0"/>
            <wp:docPr id="5" name="图片 5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七、联系方式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滕老师 13478918372（同微信）</w:t>
      </w: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t>刘老师 15940876900（同微信）</w:t>
      </w:r>
    </w:p>
    <w:p w:rsidR="006200E3" w:rsidRPr="006200E3" w:rsidRDefault="006200E3" w:rsidP="006200E3">
      <w:pPr>
        <w:widowControl/>
        <w:shd w:val="clear" w:color="auto" w:fill="FFFFFF"/>
        <w:spacing w:after="150" w:line="480" w:lineRule="atLeast"/>
        <w:ind w:firstLine="480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 w:rsidRPr="006200E3">
        <w:rPr>
          <w:rFonts w:ascii="微软雅黑" w:eastAsia="微软雅黑" w:hAnsi="微软雅黑" w:cs="宋体" w:hint="eastAsia"/>
          <w:color w:val="3F3F3F"/>
          <w:kern w:val="0"/>
          <w:szCs w:val="21"/>
        </w:rPr>
        <w:br/>
      </w:r>
    </w:p>
    <w:p w:rsidR="006200E3" w:rsidRPr="006200E3" w:rsidRDefault="006200E3" w:rsidP="006200E3">
      <w:pPr>
        <w:widowControl/>
        <w:shd w:val="clear" w:color="auto" w:fill="FFFFFF"/>
        <w:spacing w:after="150" w:line="240" w:lineRule="atLeast"/>
        <w:ind w:firstLine="480"/>
        <w:jc w:val="left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>
        <w:rPr>
          <w:rFonts w:ascii="华文细黑" w:eastAsia="华文细黑" w:hAnsi="华文细黑" w:cs="宋体"/>
          <w:noProof/>
          <w:color w:val="666666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4" name="图片 4" descr="https://isca.dufe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sca.dufe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ooltip="附件1：2023年考生诚信考试承诺书.doc" w:history="1">
        <w:r w:rsidRPr="006200E3">
          <w:rPr>
            <w:rFonts w:ascii="华文细黑" w:eastAsia="华文细黑" w:hAnsi="华文细黑" w:cs="宋体" w:hint="eastAsia"/>
            <w:color w:val="0066CC"/>
            <w:kern w:val="0"/>
            <w:sz w:val="18"/>
            <w:szCs w:val="18"/>
          </w:rPr>
          <w:t>附件1：2023年考生诚信考试承诺书.doc</w:t>
        </w:r>
      </w:hyperlink>
    </w:p>
    <w:p w:rsidR="006200E3" w:rsidRPr="006200E3" w:rsidRDefault="006200E3" w:rsidP="006200E3">
      <w:pPr>
        <w:widowControl/>
        <w:shd w:val="clear" w:color="auto" w:fill="FFFFFF"/>
        <w:spacing w:after="150" w:line="240" w:lineRule="atLeast"/>
        <w:ind w:firstLine="480"/>
        <w:jc w:val="left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>
        <w:rPr>
          <w:rFonts w:ascii="华文细黑" w:eastAsia="华文细黑" w:hAnsi="华文细黑" w:cs="宋体"/>
          <w:noProof/>
          <w:color w:val="666666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3" name="图片 3" descr="https://isca.dufe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sca.dufe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附件2：思想政治与品德素质考核表.doc" w:history="1">
        <w:r w:rsidRPr="006200E3">
          <w:rPr>
            <w:rFonts w:ascii="华文细黑" w:eastAsia="华文细黑" w:hAnsi="华文细黑" w:cs="宋体" w:hint="eastAsia"/>
            <w:color w:val="0066CC"/>
            <w:kern w:val="0"/>
            <w:sz w:val="18"/>
            <w:szCs w:val="18"/>
          </w:rPr>
          <w:t>附件2：思想政治与品德素质考核表.doc</w:t>
        </w:r>
      </w:hyperlink>
    </w:p>
    <w:p w:rsidR="006200E3" w:rsidRPr="006200E3" w:rsidRDefault="006200E3" w:rsidP="006200E3">
      <w:pPr>
        <w:widowControl/>
        <w:shd w:val="clear" w:color="auto" w:fill="FFFFFF"/>
        <w:spacing w:after="150" w:line="240" w:lineRule="atLeast"/>
        <w:ind w:firstLine="480"/>
        <w:jc w:val="left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>
        <w:rPr>
          <w:rFonts w:ascii="华文细黑" w:eastAsia="华文细黑" w:hAnsi="华文细黑" w:cs="宋体"/>
          <w:noProof/>
          <w:color w:val="666666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2" name="图片 2" descr="https://isca.dufe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sca.dufe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tooltip="附件3：政治理论笔试考生注意事项.docx" w:history="1">
        <w:r w:rsidRPr="006200E3">
          <w:rPr>
            <w:rFonts w:ascii="华文细黑" w:eastAsia="华文细黑" w:hAnsi="华文细黑" w:cs="宋体" w:hint="eastAsia"/>
            <w:color w:val="0066CC"/>
            <w:kern w:val="0"/>
            <w:sz w:val="18"/>
            <w:szCs w:val="18"/>
          </w:rPr>
          <w:t>附件3：政治理论笔试考生注意事项.docx</w:t>
        </w:r>
      </w:hyperlink>
    </w:p>
    <w:p w:rsidR="006200E3" w:rsidRPr="006200E3" w:rsidRDefault="006200E3" w:rsidP="006200E3">
      <w:pPr>
        <w:widowControl/>
        <w:shd w:val="clear" w:color="auto" w:fill="FFFFFF"/>
        <w:spacing w:after="150" w:line="240" w:lineRule="atLeast"/>
        <w:ind w:firstLine="480"/>
        <w:jc w:val="left"/>
        <w:rPr>
          <w:rFonts w:ascii="华文细黑" w:eastAsia="华文细黑" w:hAnsi="华文细黑" w:cs="宋体" w:hint="eastAsia"/>
          <w:color w:val="666666"/>
          <w:kern w:val="0"/>
          <w:szCs w:val="21"/>
        </w:rPr>
      </w:pPr>
      <w:r>
        <w:rPr>
          <w:rFonts w:ascii="华文细黑" w:eastAsia="华文细黑" w:hAnsi="华文细黑" w:cs="宋体"/>
          <w:noProof/>
          <w:color w:val="666666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1" name="图片 1" descr="https://isca.dufe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sca.dufe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附件4：政治理论考试答题纸（线上）.docx" w:history="1">
        <w:r w:rsidRPr="006200E3">
          <w:rPr>
            <w:rFonts w:ascii="华文细黑" w:eastAsia="华文细黑" w:hAnsi="华文细黑" w:cs="宋体" w:hint="eastAsia"/>
            <w:color w:val="0066CC"/>
            <w:kern w:val="0"/>
            <w:sz w:val="18"/>
            <w:szCs w:val="18"/>
          </w:rPr>
          <w:t>附件4：政治理论考试答题纸（线上）.docx</w:t>
        </w:r>
      </w:hyperlink>
    </w:p>
    <w:p w:rsidR="00712558" w:rsidRPr="006200E3" w:rsidRDefault="00712558">
      <w:bookmarkStart w:id="0" w:name="_GoBack"/>
      <w:bookmarkEnd w:id="0"/>
    </w:p>
    <w:sectPr w:rsidR="00712558" w:rsidRPr="00620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4E"/>
    <w:rsid w:val="005E1B4E"/>
    <w:rsid w:val="006200E3"/>
    <w:rsid w:val="007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0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00E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200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200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0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00E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200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200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7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02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7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ca.dufe.edu.cn/file/c5dce4c6-d37a-11ed-acb6-005056a49984/%E9%99%84%E4%BB%B61%EF%BC%9A2023%E5%B9%B4%E8%80%83%E7%94%9F%E8%AF%9A%E4%BF%A1%E8%80%83%E8%AF%95%E6%89%BF%E8%AF%BA%E4%B9%A6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sca.dufe.edu.cn/file/db79ae8b-d37a-11ed-acb6-005056a49984/%E9%99%84%E4%BB%B64%EF%BC%9A%E6%94%BF%E6%B2%BB%E7%90%86%E8%AE%BA%E8%80%83%E8%AF%95%E7%AD%94%E9%A2%98%E7%BA%B8%EF%BC%88%E7%BA%BF%E4%B8%8A%EF%BC%89.docx" TargetMode="External"/><Relationship Id="rId5" Type="http://schemas.openxmlformats.org/officeDocument/2006/relationships/hyperlink" Target="https://www.wenjuan.com/s/UZBZJvTD0n/" TargetMode="External"/><Relationship Id="rId10" Type="http://schemas.openxmlformats.org/officeDocument/2006/relationships/hyperlink" Target="https://isca.dufe.edu.cn/file/d600859e-d37a-11ed-acb6-005056a49984/%E9%99%84%E4%BB%B63%EF%BC%9A%E6%94%BF%E6%B2%BB%E7%90%86%E8%AE%BA%E7%AC%94%E8%AF%95%E8%80%83%E7%94%9F%E6%B3%A8%E6%84%8F%E4%BA%8B%E9%A1%B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ca.dufe.edu.cn/file/cfdf9d9a-d37a-11ed-acb6-005056a49984/%E9%99%84%E4%BB%B62%EF%BC%9A%E6%80%9D%E6%83%B3%E6%94%BF%E6%B2%BB%E4%B8%8E%E5%93%81%E5%BE%B7%E7%B4%A0%E8%B4%A8%E8%80%83%E6%A0%B8%E8%A1%A8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2023-05-14T09:17:00Z</dcterms:created>
  <dcterms:modified xsi:type="dcterms:W3CDTF">2023-05-14T09:18:00Z</dcterms:modified>
</cp:coreProperties>
</file>