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tbl>
      <w:tblPr>
        <w:tblStyle w:val="4"/>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3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15398"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kern w:val="0"/>
                <w:sz w:val="21"/>
                <w:szCs w:val="21"/>
                <w:lang w:val="en-US" w:eastAsia="zh-CN" w:bidi="ar"/>
              </w:rPr>
              <w:t>文学与新闻传播学院2023年硕士研究生调剂工作方案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398"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2023-04-05     (阅读：3190)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jc w:val="right"/>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ascii="仿宋" w:hAnsi="仿宋" w:eastAsia="仿宋" w:cs="仿宋"/>
                <w:color w:val="262626"/>
                <w:sz w:val="21"/>
                <w:szCs w:val="21"/>
              </w:rPr>
              <w:t>文学与新闻传播学院</w:t>
            </w:r>
            <w:r>
              <w:rPr>
                <w:rFonts w:hint="eastAsia" w:ascii="仿宋" w:hAnsi="仿宋" w:eastAsia="仿宋" w:cs="仿宋"/>
                <w:color w:val="262626"/>
                <w:sz w:val="21"/>
                <w:szCs w:val="21"/>
              </w:rPr>
              <w:t>2023年硕士研究生网上调剂系统于4月6日0:00正式开通，4月6日12:00关闭，收到并确认接受复试通知的调剂考生应按通知要求进行复试确认、参加学院正式复试，具体事项如下：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sz w:val="21"/>
                <w:szCs w:val="21"/>
              </w:rPr>
            </w:pPr>
            <w:r>
              <w:rPr>
                <w:rStyle w:val="6"/>
                <w:rFonts w:hint="eastAsia" w:ascii="仿宋" w:hAnsi="仿宋" w:eastAsia="仿宋" w:cs="仿宋"/>
                <w:color w:val="262626"/>
                <w:sz w:val="21"/>
                <w:szCs w:val="21"/>
              </w:rPr>
              <w:t>一、接收普通计划调剂专业、调剂名额及要求</w:t>
            </w:r>
          </w:p>
          <w:tbl>
            <w:tblPr>
              <w:tblStyle w:val="4"/>
              <w:tblW w:w="1469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93"/>
              <w:gridCol w:w="893"/>
              <w:gridCol w:w="1646"/>
              <w:gridCol w:w="688"/>
              <w:gridCol w:w="2063"/>
              <w:gridCol w:w="1033"/>
              <w:gridCol w:w="808"/>
              <w:gridCol w:w="1566"/>
              <w:gridCol w:w="1566"/>
              <w:gridCol w:w="35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6" w:hRule="atLeast"/>
                <w:tblCellSpacing w:w="0" w:type="dxa"/>
                <w:jc w:val="center"/>
              </w:trPr>
              <w:tc>
                <w:tcPr>
                  <w:tcW w:w="893"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学院</w:t>
                  </w:r>
                </w:p>
              </w:tc>
              <w:tc>
                <w:tcPr>
                  <w:tcW w:w="893"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代码</w:t>
                  </w:r>
                </w:p>
              </w:tc>
              <w:tc>
                <w:tcPr>
                  <w:tcW w:w="1646"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名称</w:t>
                  </w:r>
                </w:p>
              </w:tc>
              <w:tc>
                <w:tcPr>
                  <w:tcW w:w="688"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专业方向</w:t>
                  </w:r>
                </w:p>
              </w:tc>
              <w:tc>
                <w:tcPr>
                  <w:tcW w:w="2063"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专业方向名称</w:t>
                  </w:r>
                </w:p>
              </w:tc>
              <w:tc>
                <w:tcPr>
                  <w:tcW w:w="1033"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方式</w:t>
                  </w:r>
                </w:p>
              </w:tc>
              <w:tc>
                <w:tcPr>
                  <w:tcW w:w="808"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拟调剂人数</w:t>
                  </w:r>
                </w:p>
              </w:tc>
              <w:tc>
                <w:tcPr>
                  <w:tcW w:w="1566"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开通时间</w:t>
                  </w:r>
                </w:p>
              </w:tc>
              <w:tc>
                <w:tcPr>
                  <w:tcW w:w="1566"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关闭时间</w:t>
                  </w:r>
                </w:p>
              </w:tc>
              <w:tc>
                <w:tcPr>
                  <w:tcW w:w="3539" w:type="dxa"/>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4"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ascii="Arial" w:hAnsi="Arial" w:cs="Arial"/>
                      <w:sz w:val="21"/>
                      <w:szCs w:val="21"/>
                    </w:rPr>
                    <w:t>05010</w:t>
                  </w:r>
                  <w:r>
                    <w:rPr>
                      <w:rFonts w:hint="default" w:ascii="Arial" w:hAnsi="Arial" w:cs="Arial"/>
                      <w:sz w:val="21"/>
                      <w:szCs w:val="21"/>
                    </w:rPr>
                    <w:t>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中国语言文学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01</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文艺学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3名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1.接受一志愿报考中国语言文学专业（050100）的考生。2.第一志愿报考文艺学方向（01）的考生优先考虑。 3.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2"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050100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中国语言文</w:t>
                  </w:r>
                  <w:bookmarkStart w:id="0" w:name="_GoBack"/>
                  <w:bookmarkEnd w:id="0"/>
                  <w:r>
                    <w:rPr>
                      <w:sz w:val="21"/>
                      <w:szCs w:val="21"/>
                    </w:rPr>
                    <w:t>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02</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语言学及应用语言学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3名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1.接受一志愿报考中国语言文学专业（050100）考生，语言学及应用语言学方向（02）、汉语言文字学方向（03）考生优先考虑。 2.调剂考生的本科专业为中国语言文学大类专业。 3.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2"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050100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中国语言文学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03</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汉语言文字学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1名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1.接受一志愿报考中国语言文学专业（050100）的考生，语言学及应用语言学方向（02）、汉语言文字学方向（03）考生优先考虑。 2.调剂考生的本科专业为中国语言文学大类专业。 3.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15"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050100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中国语言文学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04</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中国古代文学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1.接受一志愿报考中国语言文学专业（050100）的考生，中国古代文学方向（04）的考生优先考虑。 2.调剂考生的本科专业为中国语言文学大类专业。 3.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2"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050100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中国语言文学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05</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中国现当代文学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3名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sz w:val="21"/>
                      <w:szCs w:val="21"/>
                    </w:rPr>
                  </w:pPr>
                  <w:r>
                    <w:rPr>
                      <w:sz w:val="21"/>
                      <w:szCs w:val="21"/>
                    </w:rPr>
                    <w:t>1.接受一志愿报考中国语言文学专业（050100）的考生，文艺学方向（01）、中国现当代文学方向（05）的考生优先考虑。 2.调剂考生的本科专业为中国语言文学大类专业。 3.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88"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050100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中国语言文学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06</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中国少数民族语言文学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3名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sz w:val="21"/>
                      <w:szCs w:val="21"/>
                    </w:rPr>
                  </w:pPr>
                  <w:r>
                    <w:rPr>
                      <w:sz w:val="21"/>
                      <w:szCs w:val="21"/>
                    </w:rPr>
                    <w:t>1.接受一志愿报考中国语言文学专业（050100）中文学类的考生，中国现当代文学方向（05）和中国少数民族语言文学方向（06）方向的考生优先考虑。 2.调剂考生的本科专业为中国语言文学大类专业。3.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99"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050300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新闻传播学</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01</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新闻学</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6名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sz w:val="21"/>
                      <w:szCs w:val="21"/>
                    </w:rPr>
                  </w:pPr>
                  <w:r>
                    <w:rPr>
                      <w:sz w:val="21"/>
                      <w:szCs w:val="21"/>
                    </w:rPr>
                    <w:t>1.接受一志愿报考新闻传播学专业（050300）的考生。2. 可提供科研成果及获奖情况等相关材料。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88" w:hRule="atLeast"/>
                <w:tblCellSpacing w:w="0" w:type="dxa"/>
                <w:jc w:val="center"/>
              </w:trPr>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89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045300</w:t>
                  </w:r>
                </w:p>
              </w:tc>
              <w:tc>
                <w:tcPr>
                  <w:tcW w:w="1646"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eastAsia" w:ascii="宋体" w:hAnsi="宋体" w:eastAsia="宋体" w:cs="宋体"/>
                      <w:sz w:val="21"/>
                      <w:szCs w:val="21"/>
                    </w:rPr>
                    <w:t>汉语国际教育</w:t>
                  </w:r>
                </w:p>
              </w:tc>
              <w:tc>
                <w:tcPr>
                  <w:tcW w:w="68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00</w:t>
                  </w:r>
                </w:p>
              </w:tc>
              <w:tc>
                <w:tcPr>
                  <w:tcW w:w="206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不区分研究方向</w:t>
                  </w:r>
                </w:p>
              </w:tc>
              <w:tc>
                <w:tcPr>
                  <w:tcW w:w="1033"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808"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8名</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1566" w:type="dxa"/>
                  <w:tcBorders>
                    <w:top w:val="nil"/>
                    <w:left w:val="single" w:color="auto" w:sz="4" w:space="0"/>
                    <w:bottom w:val="single" w:color="auto" w:sz="4" w:space="0"/>
                    <w:right w:val="single" w:color="auto" w:sz="4" w:space="0"/>
                  </w:tcBorders>
                  <w:shd w:val="clear" w:color="auto" w:fill="auto"/>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539" w:type="dxa"/>
                  <w:tcBorders>
                    <w:top w:val="nil"/>
                    <w:left w:val="single" w:color="auto" w:sz="4" w:space="0"/>
                    <w:bottom w:val="single" w:color="auto" w:sz="4" w:space="0"/>
                    <w:right w:val="single" w:color="auto" w:sz="4" w:space="0"/>
                  </w:tcBorders>
                  <w:shd w:val="clear" w:color="auto" w:fill="auto"/>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sz w:val="21"/>
                      <w:szCs w:val="21"/>
                    </w:rPr>
                  </w:pPr>
                  <w:r>
                    <w:rPr>
                      <w:sz w:val="21"/>
                      <w:szCs w:val="21"/>
                    </w:rPr>
                    <w:t>1.接受一志愿报考汉语国际教育专业（045300）的考生及同一学科门类中相近专业的考生。 2.优先考虑报考汉语国际教育专业（045300）的考生。3.可提供科研成果、获奖情况及才艺说明等相关材料。</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sz w:val="21"/>
                <w:szCs w:val="21"/>
              </w:rPr>
            </w:pPr>
            <w:r>
              <w:rPr>
                <w:rFonts w:hint="eastAsia" w:ascii="仿宋" w:hAnsi="仿宋" w:eastAsia="仿宋" w:cs="仿宋"/>
                <w:color w:val="262626"/>
                <w:sz w:val="21"/>
                <w:szCs w:val="21"/>
              </w:rPr>
              <w:t>二、</w:t>
            </w:r>
            <w:r>
              <w:rPr>
                <w:rStyle w:val="6"/>
                <w:rFonts w:hint="eastAsia" w:ascii="仿宋" w:hAnsi="仿宋" w:eastAsia="仿宋" w:cs="仿宋"/>
                <w:color w:val="262626"/>
                <w:sz w:val="21"/>
                <w:szCs w:val="21"/>
              </w:rPr>
              <w:t>接收专项计划调剂专业及要求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我院汉语国际教育专业和新闻与传播专业接受“退役大学生士兵计划”考生调剂；我院不接受“少数民族高层次骨干人才计划”考生调剂。</w:t>
            </w:r>
          </w:p>
          <w:tbl>
            <w:tblPr>
              <w:tblStyle w:val="4"/>
              <w:tblW w:w="1525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655"/>
              <w:gridCol w:w="1563"/>
              <w:gridCol w:w="2145"/>
              <w:gridCol w:w="1696"/>
              <w:gridCol w:w="2276"/>
              <w:gridCol w:w="2276"/>
              <w:gridCol w:w="36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6" w:hRule="atLeast"/>
                <w:tblCellSpacing w:w="0" w:type="dxa"/>
                <w:jc w:val="center"/>
              </w:trPr>
              <w:tc>
                <w:tcPr>
                  <w:tcW w:w="1655"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学院</w:t>
                  </w:r>
                </w:p>
              </w:tc>
              <w:tc>
                <w:tcPr>
                  <w:tcW w:w="1563"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专业代码</w:t>
                  </w:r>
                </w:p>
              </w:tc>
              <w:tc>
                <w:tcPr>
                  <w:tcW w:w="2145"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专业名称</w:t>
                  </w:r>
                </w:p>
              </w:tc>
              <w:tc>
                <w:tcPr>
                  <w:tcW w:w="1696"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方式</w:t>
                  </w:r>
                </w:p>
              </w:tc>
              <w:tc>
                <w:tcPr>
                  <w:tcW w:w="2276"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开通时间</w:t>
                  </w:r>
                </w:p>
              </w:tc>
              <w:tc>
                <w:tcPr>
                  <w:tcW w:w="2276"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关闭时间</w:t>
                  </w:r>
                </w:p>
              </w:tc>
              <w:tc>
                <w:tcPr>
                  <w:tcW w:w="3645"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Style w:val="6"/>
                      <w:sz w:val="21"/>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7" w:hRule="atLeast"/>
                <w:tblCellSpacing w:w="0" w:type="dxa"/>
                <w:jc w:val="center"/>
              </w:trPr>
              <w:tc>
                <w:tcPr>
                  <w:tcW w:w="1655"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1563"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045300</w:t>
                  </w:r>
                </w:p>
              </w:tc>
              <w:tc>
                <w:tcPr>
                  <w:tcW w:w="2145"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eastAsia" w:ascii="宋体" w:hAnsi="宋体" w:eastAsia="宋体" w:cs="宋体"/>
                      <w:sz w:val="21"/>
                      <w:szCs w:val="21"/>
                    </w:rPr>
                    <w:t>汉语国际教育</w:t>
                  </w:r>
                </w:p>
              </w:tc>
              <w:tc>
                <w:tcPr>
                  <w:tcW w:w="1696"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2276"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2276"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645"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sz w:val="21"/>
                      <w:szCs w:val="21"/>
                    </w:rPr>
                  </w:pPr>
                  <w:r>
                    <w:rPr>
                      <w:sz w:val="21"/>
                      <w:szCs w:val="21"/>
                    </w:rPr>
                    <w:t>1.接受一志愿报考汉语国际教育专业（045300）的考生及同一学科门类中相近专业的考生。 2.优先考虑报考汉语国际教育专业（045300）的考生。3.可提供科研成果、获奖情况及才艺说明等相关材料。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10" w:hRule="atLeast"/>
                <w:tblCellSpacing w:w="0" w:type="dxa"/>
                <w:jc w:val="center"/>
              </w:trPr>
              <w:tc>
                <w:tcPr>
                  <w:tcW w:w="1655"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文学与新闻传播学院</w:t>
                  </w:r>
                </w:p>
              </w:tc>
              <w:tc>
                <w:tcPr>
                  <w:tcW w:w="1563"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default" w:ascii="Arial" w:hAnsi="Arial" w:cs="Arial"/>
                      <w:sz w:val="21"/>
                      <w:szCs w:val="21"/>
                    </w:rPr>
                    <w:t>055200</w:t>
                  </w:r>
                </w:p>
              </w:tc>
              <w:tc>
                <w:tcPr>
                  <w:tcW w:w="2145"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rFonts w:hint="eastAsia" w:ascii="宋体" w:hAnsi="宋体" w:eastAsia="宋体" w:cs="宋体"/>
                      <w:sz w:val="21"/>
                      <w:szCs w:val="21"/>
                    </w:rPr>
                    <w:t>新闻与传播</w:t>
                  </w:r>
                </w:p>
              </w:tc>
              <w:tc>
                <w:tcPr>
                  <w:tcW w:w="1696"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全日制</w:t>
                  </w:r>
                </w:p>
              </w:tc>
              <w:tc>
                <w:tcPr>
                  <w:tcW w:w="2276"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2023.04.6,00:00</w:t>
                  </w:r>
                </w:p>
              </w:tc>
              <w:tc>
                <w:tcPr>
                  <w:tcW w:w="2276"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sz w:val="21"/>
                      <w:szCs w:val="21"/>
                    </w:rPr>
                    <w:t>2023.04.6,12:00</w:t>
                  </w:r>
                </w:p>
              </w:tc>
              <w:tc>
                <w:tcPr>
                  <w:tcW w:w="3645"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1.接受一志愿报考新闻与传播专业（0552000）的考生及新闻传播学类（050300）的考生。2.可提供科研成果、获奖情况及才艺说明等相关材料。</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rPr>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sz w:val="21"/>
                <w:szCs w:val="21"/>
              </w:rPr>
            </w:pPr>
            <w:r>
              <w:rPr>
                <w:rFonts w:hint="eastAsia" w:ascii="仿宋" w:hAnsi="仿宋" w:eastAsia="仿宋" w:cs="仿宋"/>
                <w:color w:val="262626"/>
                <w:sz w:val="21"/>
                <w:szCs w:val="21"/>
              </w:rPr>
              <w:t>三、</w:t>
            </w:r>
            <w:r>
              <w:rPr>
                <w:rStyle w:val="6"/>
                <w:rFonts w:hint="eastAsia" w:ascii="仿宋" w:hAnsi="仿宋" w:eastAsia="仿宋" w:cs="仿宋"/>
                <w:color w:val="262626"/>
                <w:sz w:val="21"/>
                <w:szCs w:val="21"/>
              </w:rPr>
              <w:t>调剂考生遴选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1.遴选参加复试考生的依据：学院复试工作小组依据调剂考生本科专业、原报考学科（专业）、初试科目、初试成绩、考生科研和获奖情况等因素综合评价，确定调剂考生名单并上报研究生院，经研究生院批准之后，在学院网站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2.对申请同一学科（专业）、初试科目完全相同的调剂考生，学院按考生初试成绩总分择优遴选进入复试的考生名单。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3.调剂复试实行差额复试，按调剂指标的250%确定复试考生。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sz w:val="21"/>
                <w:szCs w:val="21"/>
              </w:rPr>
            </w:pPr>
            <w:r>
              <w:rPr>
                <w:rStyle w:val="6"/>
                <w:rFonts w:hint="eastAsia" w:ascii="仿宋" w:hAnsi="仿宋" w:eastAsia="仿宋" w:cs="仿宋"/>
                <w:color w:val="262626"/>
                <w:sz w:val="21"/>
                <w:szCs w:val="21"/>
              </w:rPr>
              <w:t>四、调剂程序及要求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1．所有调剂考生（含校内调剂）通过“全国硕士生招生调剂服务系统”进行调剂（各加分项目考生、享受少数民族政策考生除外），否则无效。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2.学院在教育部“全国硕士生招生调剂服务系统”公布需调剂的专业、调剂缺额及分数和其他学术要求。每次开放调剂系统持续时间不少于12个小时。学院网上审核申请调剂考生的报考信息并择优挑选符合条件考生加入复试考生备选库，持续开放时间结束之前不会向考生发送复试通知，也不会进行解锁考生志愿的操作；我院设定的考生志愿系统自动解锁时间为24小时，24小时后，考生未收到复试通知，系统自动解锁，考生可以重新申报其他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3．系统开放12小时后(如在12小时内未调剂够合格生源，将视情况适当延长开放时间)，我院开始确定符合调剂要求的考生名单，经研究生院审核后，通过“全国硕士生招生调剂服务系统”向考生发送复试通知。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4．考生接到复试通知短信后，应在4小时内尽快确认接收复试通知，并按照我院的复试安排参加复试。未在规定时间内确认接受复试通知的调剂考生视为自愿放弃复试资格。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5．确认接受复试通知的考生应做好复试准备，在4月10日8：00-18：00之间现场参加学院报到、资格审查、缴费和复试。考生应保持手机畅通，随时接收学院有关调剂复试的相关短信或电话通知。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6．复试完成后，我院将根据复试结果和调剂招生名额择优确定待录取名单，经研究生院批准之后通过“全国硕士生招生调剂服务系统”向复试合格且拟录取的考生发送“待录取”通知，收到“待录取”通知的考生须在6小时内确认接受“待录取”，逾期不确认接受“待录取”将视为考生自愿放弃“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7．我院将视调剂情况可能多次开放调剂系统进行调剂（每次调剂开放时间不少于12小时），我院将根据复试批次，按调剂考生总成绩（初试总成绩+复试总成绩）分批次排名，分批次录取。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8．通过“全国硕士生招生调剂服务系统”确认接受我校“待录取”通知的考生，我院不再接受考生放弃我校“待录取”资格的申请；通过“全国硕士生招生调剂服务系统”确认接受了其他招生单位、或其他培养单位、或其他专业“待录取”通知的考生，视为自动放弃录取资格，我院将按总成绩高低顺次录取该调剂专业下一位复试合格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sz w:val="21"/>
                <w:szCs w:val="21"/>
              </w:rPr>
            </w:pPr>
            <w:r>
              <w:rPr>
                <w:rStyle w:val="6"/>
                <w:rFonts w:hint="eastAsia" w:ascii="仿宋" w:hAnsi="仿宋" w:eastAsia="仿宋" w:cs="仿宋"/>
                <w:color w:val="262626"/>
                <w:sz w:val="21"/>
                <w:szCs w:val="21"/>
              </w:rPr>
              <w:t>四、调剂注意事项及特别提示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1．复试确认时须填写常用联系手机号码并保持手机畅通。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2．申请调剂的考生务必及时确认接受“全国硕士生招生调剂服务系统”复试通知和待录取通知，逾期视为自动放弃复试资格和待录取资格。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3.接收到复试通知的考生，务必仔细阅读我院网站主页公布的复试安排及相关规定。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sz w:val="21"/>
                <w:szCs w:val="21"/>
              </w:rPr>
            </w:pPr>
            <w:r>
              <w:rPr>
                <w:rStyle w:val="6"/>
                <w:rFonts w:hint="eastAsia" w:ascii="仿宋" w:hAnsi="仿宋" w:eastAsia="仿宋" w:cs="仿宋"/>
                <w:color w:val="262626"/>
                <w:sz w:val="21"/>
                <w:szCs w:val="21"/>
              </w:rPr>
              <w:t>五、调剂联系方式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咨询电话：王老师027-67842812，13476157231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rPr>
                <w:sz w:val="21"/>
                <w:szCs w:val="21"/>
              </w:rPr>
            </w:pPr>
            <w:r>
              <w:rPr>
                <w:rFonts w:hint="eastAsia" w:ascii="仿宋" w:hAnsi="仿宋" w:eastAsia="仿宋" w:cs="仿宋"/>
                <w:color w:val="262626"/>
                <w:sz w:val="21"/>
                <w:szCs w:val="21"/>
              </w:rPr>
              <w:t>学院监督电话：张老师027-67842701，18986000880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1400"/>
              <w:jc w:val="right"/>
              <w:rPr>
                <w:sz w:val="21"/>
                <w:szCs w:val="21"/>
              </w:rPr>
            </w:pPr>
            <w:r>
              <w:rPr>
                <w:rFonts w:hint="eastAsia" w:ascii="仿宋" w:hAnsi="仿宋" w:eastAsia="仿宋" w:cs="仿宋"/>
                <w:color w:val="262626"/>
                <w:sz w:val="21"/>
                <w:szCs w:val="21"/>
              </w:rPr>
              <w:t>文学与新闻传播学院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1400"/>
              <w:jc w:val="right"/>
              <w:rPr>
                <w:sz w:val="21"/>
                <w:szCs w:val="21"/>
              </w:rPr>
            </w:pPr>
            <w:r>
              <w:rPr>
                <w:rFonts w:hint="eastAsia" w:ascii="仿宋" w:hAnsi="仿宋" w:eastAsia="仿宋" w:cs="仿宋"/>
                <w:color w:val="262626"/>
                <w:sz w:val="21"/>
                <w:szCs w:val="21"/>
              </w:rPr>
              <w:t>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jc w:val="center"/>
              <w:rPr>
                <w:rFonts w:hint="eastAsia" w:ascii="宋体" w:hAnsi="宋体" w:eastAsia="宋体" w:cs="宋体"/>
                <w:color w:val="22222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jc w:val="left"/>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jc w:val="center"/>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398" w:type="dxa"/>
            <w:shd w:val="clear" w:color="auto" w:fill="auto"/>
            <w:vAlign w:val="center"/>
          </w:tcPr>
          <w:p>
            <w:pPr>
              <w:jc w:val="right"/>
              <w:rPr>
                <w:rFonts w:hint="eastAsia" w:ascii="宋体" w:hAnsi="宋体" w:eastAsia="宋体" w:cs="宋体"/>
                <w:sz w:val="21"/>
                <w:szCs w:val="21"/>
              </w:rPr>
            </w:pPr>
          </w:p>
        </w:tc>
      </w:tr>
    </w:tbl>
    <w:p>
      <w:pPr>
        <w:pStyle w:val="9"/>
      </w:pPr>
      <w:r>
        <w:t>窗体底端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80" w:afterAutospacing="0" w:line="260" w:lineRule="atLeast"/>
        <w:ind w:left="400" w:right="0"/>
        <w:rPr>
          <w:rFonts w:hint="eastAsia" w:ascii="微软雅黑" w:hAnsi="微软雅黑" w:eastAsia="微软雅黑" w:cs="微软雅黑"/>
          <w:b/>
          <w:bCs/>
          <w:color w:val="FFFFFF"/>
          <w:sz w:val="17"/>
          <w:szCs w:val="17"/>
        </w:rPr>
      </w:pPr>
      <w:r>
        <w:rPr>
          <w:rFonts w:hint="eastAsia" w:ascii="微软雅黑" w:hAnsi="微软雅黑" w:eastAsia="微软雅黑" w:cs="微软雅黑"/>
          <w:b/>
          <w:bCs/>
          <w:color w:val="FFFFFF"/>
          <w:sz w:val="17"/>
          <w:szCs w:val="17"/>
        </w:rPr>
        <w:t>友情链接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中国社科网</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中国人民大学新闻学院</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北京大学中文系</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高校传媒联盟</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中央民族大学文传学院</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南京大学文学院</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中国传媒大学</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复旦大学新闻学院</w:t>
      </w:r>
      <w:r>
        <w:rPr>
          <w:rFonts w:hint="eastAsia" w:ascii="微软雅黑" w:hAnsi="微软雅黑" w:eastAsia="微软雅黑" w:cs="微软雅黑"/>
          <w:color w:val="FFFFFF"/>
          <w:sz w:val="14"/>
          <w:szCs w:val="14"/>
          <w:u w:val="non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eastAsia" w:ascii="微软雅黑" w:hAnsi="微软雅黑" w:eastAsia="微软雅黑" w:cs="微软雅黑"/>
          <w:color w:val="FFFFFF"/>
          <w:sz w:val="14"/>
          <w:szCs w:val="14"/>
          <w:u w:val="none"/>
        </w:rPr>
        <w:fldChar w:fldCharType="begin"/>
      </w:r>
      <w:r>
        <w:rPr>
          <w:rFonts w:hint="eastAsia" w:ascii="微软雅黑" w:hAnsi="微软雅黑" w:eastAsia="微软雅黑" w:cs="微软雅黑"/>
          <w:color w:val="FFFFFF"/>
          <w:sz w:val="14"/>
          <w:szCs w:val="14"/>
          <w:u w:val="none"/>
        </w:rPr>
        <w:instrText xml:space="preserve"> HYPERLINK "https://www.scuec.edu.cn/literature/info/1067/5504.htm" </w:instrText>
      </w:r>
      <w:r>
        <w:rPr>
          <w:rFonts w:hint="eastAsia" w:ascii="微软雅黑" w:hAnsi="微软雅黑" w:eastAsia="微软雅黑" w:cs="微软雅黑"/>
          <w:color w:val="FFFFFF"/>
          <w:sz w:val="14"/>
          <w:szCs w:val="14"/>
          <w:u w:val="none"/>
        </w:rPr>
        <w:fldChar w:fldCharType="separate"/>
      </w:r>
      <w:r>
        <w:rPr>
          <w:rStyle w:val="7"/>
          <w:rFonts w:hint="eastAsia" w:ascii="微软雅黑" w:hAnsi="微软雅黑" w:eastAsia="微软雅黑" w:cs="微软雅黑"/>
          <w:color w:val="FFFFFF"/>
          <w:sz w:val="14"/>
          <w:szCs w:val="14"/>
          <w:u w:val="none"/>
        </w:rPr>
        <w:t>武汉大学新闻与传播学院</w:t>
      </w:r>
      <w:r>
        <w:rPr>
          <w:rFonts w:hint="eastAsia" w:ascii="微软雅黑" w:hAnsi="微软雅黑" w:eastAsia="微软雅黑" w:cs="微软雅黑"/>
          <w:color w:val="FFFFFF"/>
          <w:sz w:val="14"/>
          <w:szCs w:val="14"/>
          <w:u w:val="no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2" w:beforeAutospacing="0" w:after="0" w:afterAutospacing="0" w:line="240" w:lineRule="atLeast"/>
        <w:ind w:left="0" w:right="0"/>
        <w:rPr>
          <w:rFonts w:hint="eastAsia" w:ascii="微软雅黑" w:hAnsi="微软雅黑" w:eastAsia="微软雅黑" w:cs="微软雅黑"/>
          <w:color w:val="FFFFFF"/>
          <w:sz w:val="16"/>
          <w:szCs w:val="16"/>
        </w:rPr>
      </w:pPr>
      <w:r>
        <w:rPr>
          <w:rFonts w:hint="eastAsia" w:ascii="微软雅黑" w:hAnsi="微软雅黑" w:eastAsia="微软雅黑" w:cs="微软雅黑"/>
          <w:color w:val="FFFFFF"/>
          <w:sz w:val="16"/>
          <w:szCs w:val="16"/>
        </w:rPr>
        <w:t>@2021-2031中南民族大学文学与新闻传播学院版权所有</w:t>
      </w:r>
    </w:p>
    <w:p/>
    <w:sectPr>
      <w:pgSz w:w="16838" w:h="23811"/>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0C07A"/>
    <w:multiLevelType w:val="multilevel"/>
    <w:tmpl w:val="B800C07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46F55506"/>
    <w:rsid w:val="50D94F8B"/>
    <w:rsid w:val="7F916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customStyle="1" w:styleId="8">
    <w:name w:val="_Style 7"/>
    <w:basedOn w:val="1"/>
    <w:next w:val="1"/>
    <w:uiPriority w:val="0"/>
    <w:pPr>
      <w:pBdr>
        <w:bottom w:val="single" w:color="auto" w:sz="6" w:space="1"/>
      </w:pBdr>
      <w:jc w:val="center"/>
    </w:pPr>
    <w:rPr>
      <w:rFonts w:ascii="Arial" w:eastAsia="宋体"/>
      <w:vanish/>
      <w:sz w:val="16"/>
    </w:rPr>
  </w:style>
  <w:style w:type="paragraph" w:customStyle="1" w:styleId="9">
    <w:name w:val="_Style 8"/>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2754</Words>
  <Characters>3296</Characters>
  <Lines>0</Lines>
  <Paragraphs>0</Paragraphs>
  <TotalTime>0</TotalTime>
  <ScaleCrop>false</ScaleCrop>
  <LinksUpToDate>false</LinksUpToDate>
  <CharactersWithSpaces>3320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2023-05-19T03:20:00Z</dcterms:created>
  <dc:creator>Administrator</dc:creator>
  <cp:lastModifiedBy>陈桉</cp:lastModifiedBy>
  <dcterms:modified xsi:type="dcterms:W3CDTF">2023-07-24T09:40:29Z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4E5F821BA01C42F8B10D90F0FC71C8D4</vt:lpwstr>
  </property>
</Properties>
</file>