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240" w:afterAutospacing="0"/>
        <w:ind w:left="0" w:right="0" w:firstLine="0"/>
        <w:jc w:val="left"/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</w:rPr>
        <w:t>军事科学院2023年硕士研究生军队计划二次调剂通知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0"/>
        <w:jc w:val="left"/>
        <w:rPr>
          <w:color w:val="666666"/>
          <w:sz w:val="19"/>
          <w:szCs w:val="19"/>
        </w:rPr>
      </w:pPr>
      <w:r>
        <w:rPr>
          <w:rFonts w:ascii="楷体_GB2312" w:hAnsi="Helvetica" w:eastAsia="楷体_GB2312" w:cs="楷体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16"/>
        <w:jc w:val="left"/>
        <w:rPr>
          <w:color w:val="666666"/>
          <w:sz w:val="19"/>
          <w:szCs w:val="19"/>
        </w:rPr>
      </w:pPr>
      <w:r>
        <w:rPr>
          <w:rFonts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根据我院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2023</w:t>
      </w: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年硕士研究生招生工作情况，按照国家和军队有关规定，现开放军队计划二次调剂，开放调剂专业为</w:t>
      </w:r>
      <w:r>
        <w:rPr>
          <w:rStyle w:val="6"/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生物学、兽医学、基础医学、公共卫生与预防医学、药学、生物医学工程以及电子信息、公共卫生、药学专业学位硕士</w:t>
      </w: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。调剂原则和基本条件与之前相同，每名军人考生仅可申请调剂一个专业。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16"/>
        <w:jc w:val="left"/>
        <w:rPr>
          <w:color w:val="666666"/>
          <w:sz w:val="19"/>
          <w:szCs w:val="19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调剂系统开放时间为4月24日16时，关闭时间为4月25日9时。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360" w:lineRule="atLeast"/>
        <w:ind w:left="0" w:right="0" w:firstLine="0"/>
        <w:jc w:val="left"/>
        <w:rPr>
          <w:color w:val="666666"/>
          <w:sz w:val="19"/>
          <w:szCs w:val="19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</w:rPr>
        <w:t>    教育部计划考生不涉及此次调剂工作。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zYzc4ODkzNmFjZjM3MTZlYjhkMThiZDE3MzhmMmEifQ=="/>
  </w:docVars>
  <w:rsids>
    <w:rsidRoot w:val="00000000"/>
    <w:rsid w:val="162D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2023-05-24T11:16:10Z</dcterms:created>
  <dc:creator>Lenovo</dc:creator>
  <cp:lastModifiedBy>陈桉</cp:lastModifiedBy>
  <dcterms:modified xsi:type="dcterms:W3CDTF">2023-05-24T11:16:16Z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85F6C092D74A44129828D6EA4CFA7284_12</vt:lpwstr>
  </property>
</Properties>
</file>