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15" w:lineRule="atLeast"/>
        <w:jc w:val="center"/>
        <w:rPr>
          <w:color w:val="333333"/>
        </w:rPr>
      </w:pPr>
      <w:bookmarkStart w:id="0" w:name="_GoBack"/>
      <w:r>
        <w:rPr>
          <w:rFonts w:ascii="宋体" w:hAnsi="宋体" w:eastAsia="宋体" w:cs="宋体"/>
          <w:color w:val="333333"/>
          <w:kern w:val="0"/>
          <w:sz w:val="24"/>
          <w:szCs w:val="24"/>
          <w:bdr w:val="none" w:color="auto" w:sz="0" w:space="0"/>
          <w:lang w:val="en-US" w:eastAsia="zh-CN" w:bidi="ar"/>
        </w:rPr>
        <w:t>关于2023年硕士研究生第二次调剂的通知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sz w:val="0"/>
          <w:szCs w:val="0"/>
        </w:rPr>
      </w:pPr>
      <w:r>
        <w:rPr>
          <w:rFonts w:ascii="宋体" w:hAnsi="宋体" w:eastAsia="宋体" w:cs="宋体"/>
          <w:i/>
          <w:iCs/>
          <w:color w:val="666666"/>
          <w:kern w:val="0"/>
          <w:sz w:val="0"/>
          <w:szCs w:val="0"/>
          <w:bdr w:val="none" w:color="auto" w:sz="0" w:space="0"/>
          <w:lang w:val="en-US" w:eastAsia="zh-CN" w:bidi="ar"/>
        </w:rPr>
        <w:drawing>
          <wp:inline distT="0" distB="0" distL="114300" distR="114300">
            <wp:extent cx="190500" cy="1905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90500" cy="190500"/>
                    </a:xfrm>
                    <a:prstGeom prst="rect">
                      <a:avLst/>
                    </a:prstGeom>
                    <a:noFill/>
                    <a:ln w="9525">
                      <a:noFill/>
                    </a:ln>
                  </pic:spPr>
                </pic:pic>
              </a:graphicData>
            </a:graphic>
          </wp:inline>
        </w:drawing>
      </w:r>
      <w:r>
        <w:rPr>
          <w:rFonts w:ascii="宋体" w:hAnsi="宋体" w:eastAsia="宋体" w:cs="宋体"/>
          <w:color w:val="666666"/>
          <w:kern w:val="0"/>
          <w:sz w:val="0"/>
          <w:szCs w:val="0"/>
          <w:bdr w:val="none" w:color="auto" w:sz="0" w:space="0"/>
          <w:lang w:val="en-US" w:eastAsia="zh-CN" w:bidi="ar"/>
        </w:rPr>
        <w:t>作者：</w:t>
      </w:r>
      <w:r>
        <w:rPr>
          <w:rFonts w:ascii="宋体" w:hAnsi="宋体" w:eastAsia="宋体" w:cs="宋体"/>
          <w:kern w:val="0"/>
          <w:sz w:val="0"/>
          <w:szCs w:val="0"/>
          <w:bdr w:val="none" w:color="auto" w:sz="0" w:space="0"/>
          <w:lang w:val="en-US" w:eastAsia="zh-CN" w:bidi="ar"/>
        </w:rPr>
        <w:t> </w:t>
      </w:r>
      <w:r>
        <w:rPr>
          <w:rFonts w:ascii="宋体" w:hAnsi="宋体" w:eastAsia="宋体" w:cs="宋体"/>
          <w:i/>
          <w:iCs/>
          <w:color w:val="666666"/>
          <w:kern w:val="0"/>
          <w:sz w:val="0"/>
          <w:szCs w:val="0"/>
          <w:bdr w:val="none" w:color="auto" w:sz="0" w:space="0"/>
          <w:lang w:val="en-US" w:eastAsia="zh-CN" w:bidi="ar"/>
        </w:rPr>
        <w:drawing>
          <wp:inline distT="0" distB="0" distL="114300" distR="114300">
            <wp:extent cx="190500" cy="1905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90500" cy="190500"/>
                    </a:xfrm>
                    <a:prstGeom prst="rect">
                      <a:avLst/>
                    </a:prstGeom>
                    <a:noFill/>
                    <a:ln w="9525">
                      <a:noFill/>
                    </a:ln>
                  </pic:spPr>
                </pic:pic>
              </a:graphicData>
            </a:graphic>
          </wp:inline>
        </w:drawing>
      </w:r>
      <w:r>
        <w:rPr>
          <w:rFonts w:ascii="宋体" w:hAnsi="宋体" w:eastAsia="宋体" w:cs="宋体"/>
          <w:color w:val="666666"/>
          <w:kern w:val="0"/>
          <w:sz w:val="0"/>
          <w:szCs w:val="0"/>
          <w:bdr w:val="none" w:color="auto" w:sz="0" w:space="0"/>
          <w:lang w:val="en-US" w:eastAsia="zh-CN" w:bidi="ar"/>
        </w:rPr>
        <w:t>发布日期：2023-04-11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ascii="微软雅黑" w:hAnsi="微软雅黑" w:eastAsia="微软雅黑" w:cs="微软雅黑"/>
          <w:color w:val="666666"/>
          <w:sz w:val="21"/>
          <w:szCs w:val="21"/>
          <w:bdr w:val="none" w:color="auto" w:sz="0" w:space="0"/>
        </w:rPr>
        <w:t>关于</w:t>
      </w:r>
      <w:r>
        <w:rPr>
          <w:rFonts w:hint="eastAsia" w:ascii="微软雅黑" w:hAnsi="微软雅黑" w:eastAsia="微软雅黑" w:cs="微软雅黑"/>
          <w:color w:val="666666"/>
          <w:sz w:val="21"/>
          <w:szCs w:val="21"/>
          <w:bdr w:val="none" w:color="auto" w:sz="0" w:space="0"/>
        </w:rPr>
        <w:t>2023年硕士研究生第二次调剂的通知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color w:val="666666"/>
        </w:rPr>
      </w:pPr>
      <w:r>
        <w:rPr>
          <w:rFonts w:ascii="Arial" w:hAnsi="Arial" w:cs="Arial"/>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color w:val="666666"/>
        </w:rPr>
      </w:pPr>
      <w:r>
        <w:rPr>
          <w:rFonts w:hint="eastAsia" w:ascii="宋体" w:hAnsi="宋体" w:eastAsia="宋体" w:cs="宋体"/>
          <w:color w:val="666666"/>
          <w:sz w:val="19"/>
          <w:szCs w:val="19"/>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目前我院药物化学、生药学、药物分析学、微生物与生化药学、药学（社会与管理药学方向）专业仍有硕士生调剂名额，欢迎考生向我院提出调剂申请。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参加我院调剂的考生资格审核、调剂办法、复试录取办法等，均按照我院官网发布的《中国医药工业研究总院2023年硕士研究生调剂办法》和《中国医药工业研究总院2023年硕士研究生复试录取办法》执行。调剂考生复试安排如下：</w:t>
      </w:r>
    </w:p>
    <w:tbl>
      <w:tblPr>
        <w:tblW w:w="59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800"/>
        <w:gridCol w:w="910"/>
        <w:gridCol w:w="1150"/>
        <w:gridCol w:w="1380"/>
        <w:gridCol w:w="17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10" w:hRule="atLeast"/>
        </w:trPr>
        <w:tc>
          <w:tcPr>
            <w:tcW w:w="1710" w:type="dxa"/>
            <w:gridSpan w:val="2"/>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时  间</w:t>
            </w:r>
          </w:p>
        </w:tc>
        <w:tc>
          <w:tcPr>
            <w:tcW w:w="1150" w:type="dxa"/>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内  容</w:t>
            </w:r>
          </w:p>
        </w:tc>
        <w:tc>
          <w:tcPr>
            <w:tcW w:w="1380" w:type="dxa"/>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地  点</w:t>
            </w:r>
          </w:p>
        </w:tc>
        <w:tc>
          <w:tcPr>
            <w:tcW w:w="1710" w:type="dxa"/>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参加范围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restart"/>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4月13日</w:t>
            </w: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13：00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资格审核、面谈</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总院文思楼201室</w:t>
            </w:r>
          </w:p>
        </w:tc>
        <w:tc>
          <w:tcPr>
            <w:tcW w:w="1710" w:type="dxa"/>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生药学、药物分析学、药学（社会与管理药学方向）专业的调剂复试考生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14:00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复试面试</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总院文思楼207室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生药学专业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14:00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复试面试</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总院文思楼202室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药物分析学专业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14:00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复试面试</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总院文思楼206室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药学（社会与管理药学方向）专业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restart"/>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4月14日</w:t>
            </w: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9:00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资格审核、面谈</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总院文思楼202室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jc w:val="center"/>
              <w:rPr>
                <w:color w:val="666666"/>
              </w:rPr>
            </w:pPr>
            <w:r>
              <w:rPr>
                <w:rFonts w:hint="eastAsia" w:ascii="宋体" w:hAnsi="宋体" w:eastAsia="宋体" w:cs="宋体"/>
                <w:color w:val="666666"/>
                <w:sz w:val="16"/>
                <w:szCs w:val="16"/>
                <w:bdr w:val="none" w:color="auto" w:sz="0" w:space="0"/>
                <w:shd w:val="clear" w:fill="FFFFFF"/>
              </w:rPr>
              <w:t>药物化学、微生物与生化药学专业的调剂复试考生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0" w:hRule="atLeast"/>
        </w:trPr>
        <w:tc>
          <w:tcPr>
            <w:tcW w:w="800" w:type="dxa"/>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10:00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复试面试</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总院文思楼207室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药物化学专业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调剂复试考生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40" w:hRule="atLeast"/>
        </w:trPr>
        <w:tc>
          <w:tcPr>
            <w:tcW w:w="800" w:type="dxa"/>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c>
          <w:tcPr>
            <w:tcW w:w="9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666666"/>
              </w:rPr>
            </w:pPr>
            <w:r>
              <w:rPr>
                <w:rFonts w:hint="eastAsia" w:ascii="宋体" w:hAnsi="宋体" w:eastAsia="宋体" w:cs="宋体"/>
                <w:color w:val="666666"/>
                <w:sz w:val="16"/>
                <w:szCs w:val="16"/>
                <w:bdr w:val="none" w:color="auto" w:sz="0" w:space="0"/>
              </w:rPr>
              <w:t>10:00</w:t>
            </w:r>
          </w:p>
        </w:tc>
        <w:tc>
          <w:tcPr>
            <w:tcW w:w="115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16" w:lineRule="atLeast"/>
              <w:ind w:left="0" w:right="0"/>
              <w:jc w:val="center"/>
              <w:rPr>
                <w:color w:val="666666"/>
              </w:rPr>
            </w:pPr>
            <w:r>
              <w:rPr>
                <w:rFonts w:hint="eastAsia" w:ascii="宋体" w:hAnsi="宋体" w:eastAsia="宋体" w:cs="宋体"/>
                <w:color w:val="666666"/>
                <w:sz w:val="16"/>
                <w:szCs w:val="16"/>
                <w:bdr w:val="none" w:color="auto" w:sz="0" w:space="0"/>
              </w:rPr>
              <w:t>复试面试</w:t>
            </w:r>
          </w:p>
        </w:tc>
        <w:tc>
          <w:tcPr>
            <w:tcW w:w="138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总院文思楼206室</w:t>
            </w:r>
          </w:p>
        </w:tc>
        <w:tc>
          <w:tcPr>
            <w:tcW w:w="171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jc w:val="center"/>
              <w:rPr>
                <w:color w:val="666666"/>
              </w:rPr>
            </w:pPr>
            <w:r>
              <w:rPr>
                <w:rFonts w:hint="eastAsia" w:ascii="宋体" w:hAnsi="宋体" w:eastAsia="宋体" w:cs="宋体"/>
                <w:color w:val="666666"/>
                <w:sz w:val="16"/>
                <w:szCs w:val="16"/>
                <w:bdr w:val="none" w:color="auto" w:sz="0" w:space="0"/>
                <w:shd w:val="clear" w:fill="FFFFFF"/>
              </w:rPr>
              <w:t>微生物与生化药学专业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color w:val="666666"/>
              </w:rPr>
            </w:pPr>
            <w:r>
              <w:rPr>
                <w:rFonts w:hint="eastAsia" w:ascii="宋体" w:hAnsi="宋体" w:eastAsia="宋体" w:cs="宋体"/>
                <w:color w:val="666666"/>
                <w:sz w:val="16"/>
                <w:szCs w:val="16"/>
                <w:bdr w:val="none" w:color="auto" w:sz="0" w:space="0"/>
              </w:rPr>
              <w:t>调剂复试考生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复试地址：上海市浦东新区哥白尼路285号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如调整复试时间，我院将提前在官网上公布，请考生密切关注我院官网https://www.csipi.com.cn/相关通知。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所有被我院确定为拟录取的调剂考生须在我院发出拟录取通知后的两个小时内通过教育部指定的“全国硕士生招生调剂服务系统”完成确认录取流程。逾期未确认的，视为自动放弃录取资格。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联系部门：中国医药工业研究总院研究生招生办公室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地址：上海市浦东新区哥白尼路285号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邮编：201203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联系人：杨老师、赵老师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电子邮箱：yangqian46@sinopharm.com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color w:val="666666"/>
        </w:rPr>
      </w:pPr>
      <w:r>
        <w:rPr>
          <w:rFonts w:hint="eastAsia" w:ascii="宋体" w:hAnsi="宋体" w:eastAsia="宋体" w:cs="宋体"/>
          <w:color w:val="666666"/>
          <w:sz w:val="19"/>
          <w:szCs w:val="19"/>
          <w:bdr w:val="none" w:color="auto" w:sz="0" w:space="0"/>
        </w:rPr>
        <w:t>联系电话：021-20572167、62893799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color w:val="66666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FD50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659</Words>
  <Characters>795</Characters>
  <Lines>0</Lines>
  <Paragraphs>0</Paragraphs>
  <TotalTime>0</TotalTime>
  <ScaleCrop>false</ScaleCrop>
  <LinksUpToDate>false</LinksUpToDate>
  <CharactersWithSpaces>804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2023-04-29T09:51:47Z</dcterms:created>
  <dc:creator>Administrator</dc:creator>
  <cp:lastModifiedBy>王英</cp:lastModifiedBy>
  <dcterms:modified xsi:type="dcterms:W3CDTF">2023-04-29T09:51:56Z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9607A283995144E982AE7C517FB1760C</vt:lpwstr>
  </property>
</Properties>
</file>