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300" w:beforeAutospacing="0" w:after="200" w:afterAutospacing="0" w:line="11" w:lineRule="atLeast"/>
        <w:ind w:left="0" w:right="0"/>
        <w:rPr>
          <w:b/>
          <w:bCs/>
          <w:caps/>
          <w:sz w:val="30"/>
          <w:szCs w:val="30"/>
        </w:rPr>
      </w:pPr>
      <w:bookmarkStart w:id="0" w:name="_GoBack"/>
      <w:r>
        <w:rPr>
          <w:b/>
          <w:bCs/>
          <w:caps/>
          <w:sz w:val="30"/>
          <w:szCs w:val="30"/>
        </w:rPr>
        <w:t>地信学院2023年硕士研究生招生调剂复试录取工作方案</w:t>
      </w:r>
    </w:p>
    <w:bookmarkEnd w:id="0"/>
    <w:p>
      <w:pPr>
        <w:pStyle w:val="3"/>
        <w:keepNext w:val="0"/>
        <w:keepLines w:val="0"/>
        <w:widowControl/>
        <w:suppressLineNumbers w:val="0"/>
        <w:spacing w:before="100" w:beforeAutospacing="0" w:after="100" w:afterAutospacing="0"/>
        <w:ind w:left="0" w:right="0"/>
      </w:pPr>
      <w:r>
        <w:t>发布时间：2023年03月31日 16:34  |  阅读：15408 次</w:t>
      </w:r>
    </w:p>
    <w:p>
      <w:pPr>
        <w:keepNext w:val="0"/>
        <w:keepLines w:val="0"/>
        <w:widowControl/>
        <w:suppressLineNumbers w:val="0"/>
        <w:jc w:val="left"/>
      </w:pPr>
    </w:p>
    <w:p>
      <w:pPr>
        <w:pStyle w:val="3"/>
        <w:keepNext w:val="0"/>
        <w:keepLines w:val="0"/>
        <w:widowControl/>
        <w:suppressLineNumbers w:val="0"/>
        <w:spacing w:before="100" w:beforeAutospacing="0" w:after="100" w:afterAutospacing="0" w:line="225" w:lineRule="atLeast"/>
        <w:ind w:left="0" w:right="0"/>
        <w:jc w:val="center"/>
      </w:pPr>
      <w:r>
        <w:rPr>
          <w:rStyle w:val="6"/>
          <w:rFonts w:ascii="仿宋" w:hAnsi="仿宋" w:eastAsia="仿宋" w:cs="仿宋"/>
          <w:b/>
          <w:bCs/>
          <w:color w:val="000000"/>
          <w:sz w:val="24"/>
          <w:szCs w:val="24"/>
        </w:rPr>
        <w:t>中国地质大学</w:t>
      </w:r>
      <w:r>
        <w:rPr>
          <w:rStyle w:val="6"/>
          <w:rFonts w:hint="eastAsia" w:ascii="仿宋" w:hAnsi="仿宋" w:eastAsia="仿宋" w:cs="仿宋"/>
          <w:b/>
          <w:bCs/>
          <w:color w:val="000000"/>
          <w:sz w:val="24"/>
          <w:szCs w:val="24"/>
          <w:lang w:val="en-US"/>
        </w:rPr>
        <w:t>(</w:t>
      </w:r>
      <w:r>
        <w:rPr>
          <w:rStyle w:val="6"/>
          <w:rFonts w:hint="eastAsia" w:ascii="仿宋" w:hAnsi="仿宋" w:eastAsia="仿宋" w:cs="仿宋"/>
          <w:b/>
          <w:bCs/>
          <w:color w:val="000000"/>
          <w:sz w:val="24"/>
          <w:szCs w:val="24"/>
        </w:rPr>
        <w:t>武汉</w:t>
      </w:r>
      <w:r>
        <w:rPr>
          <w:rStyle w:val="6"/>
          <w:rFonts w:hint="eastAsia" w:ascii="仿宋" w:hAnsi="仿宋" w:eastAsia="仿宋" w:cs="仿宋"/>
          <w:b/>
          <w:bCs/>
          <w:color w:val="000000"/>
          <w:sz w:val="24"/>
          <w:szCs w:val="24"/>
          <w:lang w:val="en-US"/>
        </w:rPr>
        <w:t>)</w:t>
      </w:r>
      <w:r>
        <w:rPr>
          <w:rStyle w:val="6"/>
          <w:rFonts w:hint="eastAsia" w:ascii="仿宋" w:hAnsi="仿宋" w:eastAsia="仿宋" w:cs="仿宋"/>
          <w:b/>
          <w:bCs/>
          <w:color w:val="000000"/>
          <w:sz w:val="24"/>
          <w:szCs w:val="24"/>
        </w:rPr>
        <w:t>地理与信息工程学院</w:t>
      </w:r>
    </w:p>
    <w:p>
      <w:pPr>
        <w:pStyle w:val="3"/>
        <w:keepNext w:val="0"/>
        <w:keepLines w:val="0"/>
        <w:widowControl/>
        <w:suppressLineNumbers w:val="0"/>
        <w:spacing w:before="100" w:beforeAutospacing="0" w:after="100" w:afterAutospacing="0" w:line="225" w:lineRule="atLeast"/>
        <w:ind w:left="0" w:right="0"/>
        <w:jc w:val="center"/>
      </w:pPr>
      <w:r>
        <w:rPr>
          <w:rStyle w:val="6"/>
          <w:rFonts w:hint="eastAsia" w:ascii="仿宋" w:hAnsi="仿宋" w:eastAsia="仿宋" w:cs="仿宋"/>
          <w:b/>
          <w:bCs/>
          <w:color w:val="000000"/>
          <w:sz w:val="24"/>
          <w:szCs w:val="24"/>
          <w:lang w:val="en-US"/>
        </w:rPr>
        <w:t>2023</w:t>
      </w:r>
      <w:r>
        <w:rPr>
          <w:rStyle w:val="6"/>
          <w:rFonts w:hint="eastAsia" w:ascii="仿宋" w:hAnsi="仿宋" w:eastAsia="仿宋" w:cs="仿宋"/>
          <w:b/>
          <w:bCs/>
          <w:color w:val="000000"/>
          <w:sz w:val="24"/>
          <w:szCs w:val="24"/>
        </w:rPr>
        <w:t>年硕士研究生招生调剂复试录取工作方案</w:t>
      </w:r>
    </w:p>
    <w:p>
      <w:pPr>
        <w:pStyle w:val="3"/>
        <w:keepNext w:val="0"/>
        <w:keepLines w:val="0"/>
        <w:widowControl/>
        <w:suppressLineNumbers w:val="0"/>
        <w:spacing w:before="100" w:beforeAutospacing="0" w:after="0" w:afterAutospacing="0" w:line="225" w:lineRule="atLeast"/>
        <w:ind w:left="0" w:right="0" w:firstLine="370"/>
        <w:jc w:val="both"/>
      </w:pPr>
      <w:r>
        <w:rPr>
          <w:rFonts w:hint="eastAsia" w:ascii="仿宋" w:hAnsi="仿宋" w:eastAsia="仿宋" w:cs="仿宋"/>
          <w:color w:val="000000"/>
          <w:spacing w:val="0"/>
          <w:sz w:val="19"/>
          <w:szCs w:val="19"/>
        </w:rPr>
        <w:t>根据教育部《2023年全国硕士研究生招生工作管理规定》和学校有关文件精神，结合地理与信息工程学院招生工作实际情况，制订我院2023年硕士研究生调剂复试工作方案如下：</w:t>
      </w:r>
    </w:p>
    <w:p>
      <w:pPr>
        <w:pStyle w:val="3"/>
        <w:keepNext w:val="0"/>
        <w:keepLines w:val="0"/>
        <w:widowControl/>
        <w:suppressLineNumbers w:val="0"/>
        <w:spacing w:before="100" w:beforeAutospacing="0" w:after="0" w:afterAutospacing="0" w:line="225" w:lineRule="atLeast"/>
        <w:ind w:left="0" w:right="0"/>
        <w:jc w:val="both"/>
      </w:pPr>
      <w:r>
        <w:rPr>
          <w:rStyle w:val="6"/>
          <w:rFonts w:hint="eastAsia" w:ascii="仿宋" w:hAnsi="仿宋" w:eastAsia="仿宋" w:cs="仿宋"/>
          <w:b/>
          <w:bCs/>
          <w:color w:val="000000"/>
          <w:spacing w:val="20"/>
          <w:sz w:val="19"/>
          <w:szCs w:val="19"/>
        </w:rPr>
        <w:t>   一、调剂基本要求</w:t>
      </w:r>
    </w:p>
    <w:p>
      <w:pPr>
        <w:pStyle w:val="3"/>
        <w:keepNext w:val="0"/>
        <w:keepLines w:val="0"/>
        <w:widowControl/>
        <w:suppressLineNumbers w:val="0"/>
        <w:spacing w:before="100" w:beforeAutospacing="0" w:after="0" w:afterAutospacing="0"/>
        <w:ind w:left="0" w:right="0" w:firstLine="320"/>
        <w:jc w:val="both"/>
      </w:pPr>
      <w:r>
        <w:rPr>
          <w:rFonts w:hint="eastAsia" w:ascii="仿宋" w:hAnsi="仿宋" w:eastAsia="仿宋" w:cs="仿宋"/>
          <w:color w:val="000000"/>
          <w:spacing w:val="0"/>
          <w:sz w:val="19"/>
          <w:szCs w:val="19"/>
        </w:rPr>
        <w:t>1. 基本条件：须符合教育部规定的2023年调剂基本要求。调剂考生初试成绩符合第一志愿报考专业在调入地区的全国初试成绩基本要求并同时达到</w:t>
      </w:r>
      <w:r>
        <w:rPr>
          <w:rFonts w:hint="eastAsia" w:ascii="仿宋" w:hAnsi="仿宋" w:eastAsia="仿宋" w:cs="仿宋"/>
          <w:spacing w:val="0"/>
          <w:sz w:val="19"/>
          <w:szCs w:val="19"/>
        </w:rPr>
        <w:t>我院</w:t>
      </w:r>
      <w:r>
        <w:rPr>
          <w:rFonts w:hint="eastAsia" w:ascii="仿宋" w:hAnsi="仿宋" w:eastAsia="仿宋" w:cs="仿宋"/>
          <w:color w:val="000000"/>
          <w:spacing w:val="0"/>
          <w:sz w:val="19"/>
          <w:szCs w:val="19"/>
        </w:rPr>
        <w:t>调剂专业的复试分数线；第一志愿报考专业与调入专业相同或相近，在同一学科门类范围内；初试科目与调入专业初试科目相同或相近，其中初试全国统一命题科目应与调入专业全国统一命题科目相同。</w:t>
      </w:r>
    </w:p>
    <w:p>
      <w:pPr>
        <w:pStyle w:val="3"/>
        <w:keepNext w:val="0"/>
        <w:keepLines w:val="0"/>
        <w:widowControl/>
        <w:suppressLineNumbers w:val="0"/>
        <w:spacing w:before="100" w:beforeAutospacing="0" w:after="0" w:afterAutospacing="0"/>
        <w:ind w:left="0" w:right="0" w:firstLine="320"/>
        <w:jc w:val="both"/>
      </w:pPr>
      <w:r>
        <w:rPr>
          <w:rFonts w:hint="eastAsia" w:ascii="仿宋" w:hAnsi="仿宋" w:eastAsia="仿宋" w:cs="仿宋"/>
          <w:color w:val="000000"/>
          <w:spacing w:val="0"/>
          <w:sz w:val="19"/>
          <w:szCs w:val="19"/>
        </w:rPr>
        <w:t>2. 申请调剂我院的考生还须符合以下要求:考生报考我校意愿坚定， 本科专业应为我院接收调剂专业及相近专业，依托学科在第四轮全国高校学科评估中达到B类及以上优先。同时，在相关领域的学术期刊上发表学术论文;或大学期间取得与本科专业研究成果相关授权的国家发明专利或发明专利申请公布及进入实质审查阶段;或登记软件著作权;或大学期间参加由中国高等教育学会发布的最新全国普通高校大学生竞赛榜单的竞赛项目，获得省部级一等奖及以上奖励(参赛奖除外);或参与大学生创新创业项目;或其他相当水平专业相关成果。各专业及方向的其他要求详情见后文“二、接收调剂的专业复试线及指标”部分。相关证明材料报名时应邮件提交至yjs06@cug.edu.cn，邮件标题格式为“调剂-（调剂专业方向）-姓名”。</w:t>
      </w:r>
    </w:p>
    <w:p>
      <w:pPr>
        <w:pStyle w:val="3"/>
        <w:keepNext w:val="0"/>
        <w:keepLines w:val="0"/>
        <w:widowControl/>
        <w:suppressLineNumbers w:val="0"/>
        <w:spacing w:before="100" w:beforeAutospacing="0" w:after="0" w:afterAutospacing="0"/>
        <w:ind w:left="0" w:right="0" w:firstLine="320"/>
        <w:jc w:val="both"/>
      </w:pPr>
      <w:r>
        <w:rPr>
          <w:rFonts w:hint="eastAsia" w:ascii="仿宋" w:hAnsi="仿宋" w:eastAsia="仿宋" w:cs="仿宋"/>
          <w:color w:val="000000"/>
          <w:spacing w:val="0"/>
          <w:sz w:val="19"/>
          <w:szCs w:val="19"/>
        </w:rPr>
        <w:t>3. 申请调剂的考生必须为本科毕业及以上学历，不接受同等学力考生调剂。</w:t>
      </w:r>
    </w:p>
    <w:p>
      <w:pPr>
        <w:pStyle w:val="3"/>
        <w:keepNext w:val="0"/>
        <w:keepLines w:val="0"/>
        <w:widowControl/>
        <w:suppressLineNumbers w:val="0"/>
        <w:spacing w:before="100" w:beforeAutospacing="0" w:after="0" w:afterAutospacing="0"/>
        <w:ind w:left="0" w:right="0" w:firstLine="320"/>
        <w:jc w:val="both"/>
      </w:pPr>
      <w:r>
        <w:rPr>
          <w:rFonts w:hint="eastAsia" w:ascii="仿宋" w:hAnsi="仿宋" w:eastAsia="仿宋" w:cs="仿宋"/>
          <w:color w:val="000000"/>
          <w:spacing w:val="0"/>
          <w:sz w:val="19"/>
          <w:szCs w:val="19"/>
        </w:rPr>
        <w:t>4. 我校非全日制专业仅接收报考类别为定向就业（含调剂时申请转为定向就业）的考生申请调剂。</w:t>
      </w:r>
    </w:p>
    <w:p>
      <w:pPr>
        <w:pStyle w:val="3"/>
        <w:keepNext w:val="0"/>
        <w:keepLines w:val="0"/>
        <w:widowControl/>
        <w:suppressLineNumbers w:val="0"/>
        <w:spacing w:before="100" w:beforeAutospacing="0" w:after="0" w:afterAutospacing="0"/>
        <w:ind w:left="0" w:right="0" w:firstLine="320"/>
        <w:jc w:val="both"/>
      </w:pPr>
      <w:r>
        <w:rPr>
          <w:rFonts w:hint="eastAsia" w:ascii="仿宋" w:hAnsi="仿宋" w:eastAsia="仿宋" w:cs="仿宋"/>
          <w:color w:val="000000"/>
          <w:spacing w:val="0"/>
          <w:sz w:val="19"/>
          <w:szCs w:val="19"/>
        </w:rPr>
        <w:t>5. 不接收“少数民族高层次骨干人才计划”和“退役大学生士兵专项计划”调剂。</w:t>
      </w:r>
    </w:p>
    <w:p>
      <w:pPr>
        <w:pStyle w:val="3"/>
        <w:keepNext w:val="0"/>
        <w:keepLines w:val="0"/>
        <w:widowControl/>
        <w:suppressLineNumbers w:val="0"/>
        <w:spacing w:before="100" w:beforeAutospacing="0" w:after="0" w:afterAutospacing="0"/>
        <w:ind w:left="0" w:right="0" w:firstLine="320"/>
        <w:jc w:val="both"/>
      </w:pPr>
      <w:r>
        <w:rPr>
          <w:rStyle w:val="6"/>
          <w:rFonts w:hint="eastAsia" w:ascii="仿宋" w:hAnsi="仿宋" w:eastAsia="仿宋" w:cs="仿宋"/>
          <w:b/>
          <w:bCs/>
          <w:color w:val="000000"/>
          <w:spacing w:val="20"/>
          <w:sz w:val="19"/>
          <w:szCs w:val="19"/>
        </w:rPr>
        <w:t>二、接收调剂的专业复试线及指标</w:t>
      </w:r>
    </w:p>
    <w:tbl>
      <w:tblPr>
        <w:tblW w:w="8475" w:type="dxa"/>
        <w:jc w:val="center"/>
        <w:tblBorders>
          <w:top w:val="single" w:color="ECEDF1" w:sz="4" w:space="0"/>
          <w:left w:val="single" w:color="ECEDF1" w:sz="4" w:space="0"/>
          <w:bottom w:val="single" w:color="ECEDF1" w:sz="4" w:space="0"/>
          <w:right w:val="single" w:color="ECEDF1" w:sz="4" w:space="0"/>
          <w:insideH w:val="none" w:color="auto" w:sz="0" w:space="0"/>
          <w:insideV w:val="none" w:color="auto" w:sz="0" w:space="0"/>
        </w:tblBorders>
        <w:shd w:val="clear" w:color="auto" w:fill="FAFBFD"/>
        <w:tblLayout w:type="autofit"/>
        <w:tblCellMar>
          <w:top w:w="0" w:type="dxa"/>
          <w:left w:w="0" w:type="dxa"/>
          <w:bottom w:w="0" w:type="dxa"/>
          <w:right w:w="0" w:type="dxa"/>
        </w:tblCellMar>
      </w:tblPr>
      <w:tblGrid>
        <w:gridCol w:w="1359"/>
        <w:gridCol w:w="1972"/>
        <w:gridCol w:w="1617"/>
        <w:gridCol w:w="1274"/>
        <w:gridCol w:w="2253"/>
      </w:tblGrid>
      <w:tr>
        <w:tblPrEx>
          <w:tblBorders>
            <w:top w:val="single" w:color="ECEDF1" w:sz="4" w:space="0"/>
            <w:left w:val="single" w:color="ECEDF1" w:sz="4" w:space="0"/>
            <w:bottom w:val="single" w:color="ECEDF1" w:sz="4" w:space="0"/>
            <w:right w:val="single" w:color="ECEDF1" w:sz="4" w:space="0"/>
            <w:insideH w:val="none" w:color="auto" w:sz="0" w:space="0"/>
            <w:insideV w:val="none" w:color="auto" w:sz="0" w:space="0"/>
          </w:tblBorders>
          <w:shd w:val="clear" w:color="auto" w:fill="FAFBFD"/>
          <w:tblCellMar>
            <w:top w:w="0" w:type="dxa"/>
            <w:left w:w="0" w:type="dxa"/>
            <w:bottom w:w="0" w:type="dxa"/>
            <w:right w:w="0" w:type="dxa"/>
          </w:tblCellMar>
        </w:tblPrEx>
        <w:trPr>
          <w:trHeight w:val="400" w:hRule="atLeast"/>
          <w:jc w:val="center"/>
        </w:trPr>
        <w:tc>
          <w:tcPr>
            <w:tcW w:w="1110" w:type="dxa"/>
            <w:tcBorders>
              <w:top w:val="single" w:color="000000" w:sz="4" w:space="0"/>
              <w:left w:val="single" w:color="000000" w:sz="4" w:space="0"/>
              <w:bottom w:val="single" w:color="000000" w:sz="4" w:space="0"/>
              <w:right w:val="single" w:color="000000" w:sz="4" w:space="0"/>
            </w:tcBorders>
            <w:shd w:val="clear" w:color="auto" w:fill="FAFBFD"/>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pPr>
            <w:r>
              <w:rPr>
                <w:rStyle w:val="6"/>
                <w:rFonts w:hint="eastAsia" w:ascii="仿宋" w:hAnsi="仿宋" w:eastAsia="仿宋" w:cs="仿宋"/>
                <w:b/>
                <w:bCs/>
                <w:color w:val="000000"/>
                <w:spacing w:val="0"/>
                <w:sz w:val="19"/>
                <w:szCs w:val="19"/>
              </w:rPr>
              <w:t>（专业代码）</w:t>
            </w:r>
          </w:p>
          <w:p>
            <w:pPr>
              <w:pStyle w:val="3"/>
              <w:keepNext w:val="0"/>
              <w:keepLines w:val="0"/>
              <w:widowControl/>
              <w:suppressLineNumbers w:val="0"/>
              <w:spacing w:before="100" w:beforeAutospacing="0" w:after="100" w:afterAutospacing="0" w:line="225" w:lineRule="atLeast"/>
              <w:ind w:left="0" w:right="0"/>
              <w:jc w:val="center"/>
            </w:pPr>
            <w:r>
              <w:rPr>
                <w:rStyle w:val="6"/>
                <w:rFonts w:hint="eastAsia" w:ascii="仿宋" w:hAnsi="仿宋" w:eastAsia="仿宋" w:cs="仿宋"/>
                <w:b/>
                <w:bCs/>
                <w:color w:val="000000"/>
                <w:spacing w:val="0"/>
                <w:sz w:val="19"/>
                <w:szCs w:val="19"/>
              </w:rPr>
              <w:t>专业名称</w:t>
            </w:r>
          </w:p>
        </w:tc>
        <w:tc>
          <w:tcPr>
            <w:tcW w:w="1610" w:type="dxa"/>
            <w:tcBorders>
              <w:top w:val="single" w:color="000000" w:sz="4" w:space="0"/>
              <w:left w:val="nil"/>
              <w:bottom w:val="single" w:color="000000" w:sz="4" w:space="0"/>
              <w:right w:val="single" w:color="000000" w:sz="4" w:space="0"/>
            </w:tcBorders>
            <w:shd w:val="clear" w:color="auto" w:fill="FAFBFD"/>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pPr>
            <w:r>
              <w:rPr>
                <w:rStyle w:val="6"/>
                <w:rFonts w:hint="eastAsia" w:ascii="仿宋" w:hAnsi="仿宋" w:eastAsia="仿宋" w:cs="仿宋"/>
                <w:b/>
                <w:bCs/>
                <w:color w:val="000000"/>
                <w:spacing w:val="0"/>
                <w:sz w:val="19"/>
                <w:szCs w:val="19"/>
              </w:rPr>
              <w:t>研究方向</w:t>
            </w:r>
          </w:p>
        </w:tc>
        <w:tc>
          <w:tcPr>
            <w:tcW w:w="1320" w:type="dxa"/>
            <w:tcBorders>
              <w:top w:val="single" w:color="000000" w:sz="4" w:space="0"/>
              <w:left w:val="nil"/>
              <w:bottom w:val="single" w:color="000000" w:sz="4" w:space="0"/>
              <w:right w:val="single" w:color="000000" w:sz="4" w:space="0"/>
            </w:tcBorders>
            <w:shd w:val="clear" w:color="auto" w:fill="FAFBFD"/>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pPr>
            <w:r>
              <w:rPr>
                <w:rStyle w:val="6"/>
                <w:rFonts w:hint="eastAsia" w:ascii="仿宋" w:hAnsi="仿宋" w:eastAsia="仿宋" w:cs="仿宋"/>
                <w:b/>
                <w:bCs/>
                <w:color w:val="000000"/>
                <w:spacing w:val="0"/>
                <w:sz w:val="19"/>
                <w:szCs w:val="19"/>
              </w:rPr>
              <w:t>复试分数线</w:t>
            </w:r>
          </w:p>
        </w:tc>
        <w:tc>
          <w:tcPr>
            <w:tcW w:w="1040" w:type="dxa"/>
            <w:tcBorders>
              <w:top w:val="single" w:color="000000" w:sz="4" w:space="0"/>
              <w:left w:val="nil"/>
              <w:bottom w:val="single" w:color="000000" w:sz="4" w:space="0"/>
              <w:right w:val="single" w:color="000000" w:sz="4" w:space="0"/>
            </w:tcBorders>
            <w:shd w:val="clear" w:color="auto" w:fill="FAFBFD"/>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pPr>
            <w:r>
              <w:rPr>
                <w:rStyle w:val="6"/>
                <w:rFonts w:hint="eastAsia" w:ascii="仿宋" w:hAnsi="仿宋" w:eastAsia="仿宋" w:cs="仿宋"/>
                <w:b/>
                <w:bCs/>
                <w:color w:val="000000"/>
                <w:spacing w:val="0"/>
                <w:sz w:val="19"/>
                <w:szCs w:val="19"/>
              </w:rPr>
              <w:t>普通计划</w:t>
            </w:r>
          </w:p>
          <w:p>
            <w:pPr>
              <w:pStyle w:val="3"/>
              <w:keepNext w:val="0"/>
              <w:keepLines w:val="0"/>
              <w:widowControl/>
              <w:suppressLineNumbers w:val="0"/>
              <w:spacing w:before="100" w:beforeAutospacing="0" w:after="100" w:afterAutospacing="0" w:line="225" w:lineRule="atLeast"/>
              <w:ind w:left="0" w:right="0"/>
              <w:jc w:val="center"/>
            </w:pPr>
            <w:r>
              <w:rPr>
                <w:rStyle w:val="6"/>
                <w:rFonts w:hint="eastAsia" w:ascii="仿宋" w:hAnsi="仿宋" w:eastAsia="仿宋" w:cs="仿宋"/>
                <w:b/>
                <w:bCs/>
                <w:color w:val="000000"/>
                <w:spacing w:val="0"/>
                <w:sz w:val="19"/>
                <w:szCs w:val="19"/>
              </w:rPr>
              <w:t>调剂指标</w:t>
            </w:r>
          </w:p>
        </w:tc>
        <w:tc>
          <w:tcPr>
            <w:tcW w:w="1840" w:type="dxa"/>
            <w:tcBorders>
              <w:top w:val="single" w:color="000000" w:sz="4" w:space="0"/>
              <w:left w:val="nil"/>
              <w:bottom w:val="single" w:color="000000" w:sz="4" w:space="0"/>
              <w:right w:val="single" w:color="000000" w:sz="4" w:space="0"/>
            </w:tcBorders>
            <w:shd w:val="clear" w:color="auto" w:fill="FAFBFD"/>
            <w:vAlign w:val="center"/>
          </w:tcPr>
          <w:p>
            <w:pPr>
              <w:pStyle w:val="3"/>
              <w:keepNext w:val="0"/>
              <w:keepLines w:val="0"/>
              <w:widowControl/>
              <w:suppressLineNumbers w:val="0"/>
              <w:spacing w:before="100" w:beforeAutospacing="0" w:after="100" w:afterAutospacing="0" w:line="225" w:lineRule="atLeast"/>
              <w:ind w:left="0" w:right="0"/>
              <w:jc w:val="center"/>
            </w:pPr>
            <w:r>
              <w:rPr>
                <w:rStyle w:val="6"/>
                <w:rFonts w:hint="eastAsia" w:ascii="仿宋" w:hAnsi="仿宋" w:eastAsia="仿宋" w:cs="仿宋"/>
                <w:b/>
                <w:bCs/>
                <w:color w:val="000000"/>
                <w:spacing w:val="0"/>
                <w:sz w:val="19"/>
                <w:szCs w:val="19"/>
              </w:rPr>
              <w:t>调剂其他要求</w:t>
            </w:r>
          </w:p>
        </w:tc>
      </w:tr>
      <w:tr>
        <w:tblPrEx>
          <w:tblBorders>
            <w:top w:val="single" w:color="ECEDF1" w:sz="4" w:space="0"/>
            <w:left w:val="single" w:color="ECEDF1" w:sz="4" w:space="0"/>
            <w:bottom w:val="single" w:color="ECEDF1" w:sz="4" w:space="0"/>
            <w:right w:val="single" w:color="ECEDF1" w:sz="4" w:space="0"/>
            <w:insideH w:val="none" w:color="auto" w:sz="0" w:space="0"/>
            <w:insideV w:val="none" w:color="auto" w:sz="0" w:space="0"/>
          </w:tblBorders>
          <w:shd w:val="clear" w:color="auto" w:fill="FAFBFD"/>
        </w:tblPrEx>
        <w:trPr>
          <w:trHeight w:val="400" w:hRule="atLeast"/>
          <w:jc w:val="center"/>
        </w:trPr>
        <w:tc>
          <w:tcPr>
            <w:tcW w:w="1110" w:type="dxa"/>
            <w:tcBorders>
              <w:top w:val="nil"/>
              <w:left w:val="single" w:color="000000" w:sz="4" w:space="0"/>
              <w:bottom w:val="single" w:color="000000" w:sz="4" w:space="0"/>
              <w:right w:val="single" w:color="000000" w:sz="4" w:space="0"/>
            </w:tcBorders>
            <w:shd w:val="clear" w:color="auto" w:fill="FAFBFD"/>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lang w:val="en-US"/>
              </w:rPr>
              <w:t>(070500)</w:t>
            </w:r>
          </w:p>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地理学</w:t>
            </w:r>
          </w:p>
        </w:tc>
        <w:tc>
          <w:tcPr>
            <w:tcW w:w="161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keepNext w:val="0"/>
              <w:keepLines w:val="0"/>
              <w:widowControl/>
              <w:suppressLineNumbers w:val="0"/>
              <w:jc w:val="center"/>
            </w:pPr>
          </w:p>
        </w:tc>
        <w:tc>
          <w:tcPr>
            <w:tcW w:w="132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spacing w:val="0"/>
                <w:sz w:val="19"/>
                <w:szCs w:val="19"/>
              </w:rPr>
              <w:t>38/57/310</w:t>
            </w:r>
          </w:p>
        </w:tc>
        <w:tc>
          <w:tcPr>
            <w:tcW w:w="104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3</w:t>
            </w:r>
          </w:p>
        </w:tc>
        <w:tc>
          <w:tcPr>
            <w:tcW w:w="1840" w:type="dxa"/>
            <w:tcBorders>
              <w:top w:val="nil"/>
              <w:left w:val="nil"/>
              <w:bottom w:val="single" w:color="000000" w:sz="4" w:space="0"/>
              <w:right w:val="single" w:color="000000" w:sz="4" w:space="0"/>
            </w:tcBorders>
            <w:shd w:val="clear" w:color="auto" w:fill="FAFBFD"/>
            <w:vAlign w:val="top"/>
          </w:tcPr>
          <w:p>
            <w:pPr>
              <w:keepNext w:val="0"/>
              <w:keepLines w:val="0"/>
              <w:widowControl/>
              <w:suppressLineNumbers w:val="0"/>
              <w:jc w:val="center"/>
            </w:pPr>
          </w:p>
        </w:tc>
      </w:tr>
      <w:tr>
        <w:tblPrEx>
          <w:tblBorders>
            <w:top w:val="single" w:color="ECEDF1" w:sz="4" w:space="0"/>
            <w:left w:val="single" w:color="ECEDF1" w:sz="4" w:space="0"/>
            <w:bottom w:val="single" w:color="ECEDF1" w:sz="4" w:space="0"/>
            <w:right w:val="single" w:color="ECEDF1" w:sz="4" w:space="0"/>
            <w:insideH w:val="none" w:color="auto" w:sz="0" w:space="0"/>
            <w:insideV w:val="none" w:color="auto" w:sz="0" w:space="0"/>
          </w:tblBorders>
          <w:shd w:val="clear" w:color="auto" w:fill="FAFBFD"/>
          <w:tblCellMar>
            <w:top w:w="0" w:type="dxa"/>
            <w:left w:w="0" w:type="dxa"/>
            <w:bottom w:w="0" w:type="dxa"/>
            <w:right w:w="0" w:type="dxa"/>
          </w:tblCellMar>
        </w:tblPrEx>
        <w:trPr>
          <w:trHeight w:val="400" w:hRule="atLeast"/>
          <w:jc w:val="center"/>
        </w:trPr>
        <w:tc>
          <w:tcPr>
            <w:tcW w:w="1110" w:type="dxa"/>
            <w:vMerge w:val="restart"/>
            <w:tcBorders>
              <w:top w:val="nil"/>
              <w:left w:val="single" w:color="000000" w:sz="4" w:space="0"/>
              <w:bottom w:val="nil"/>
              <w:right w:val="single" w:color="000000" w:sz="4" w:space="0"/>
            </w:tcBorders>
            <w:shd w:val="clear" w:color="auto" w:fill="FAFBFD"/>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lang w:val="en-US"/>
              </w:rPr>
              <w:t>(081600)</w:t>
            </w:r>
          </w:p>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测绘科学与技术</w:t>
            </w:r>
          </w:p>
        </w:tc>
        <w:tc>
          <w:tcPr>
            <w:tcW w:w="161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大地测量学与测量工程</w:t>
            </w:r>
          </w:p>
        </w:tc>
        <w:tc>
          <w:tcPr>
            <w:tcW w:w="132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lang w:val="en-US"/>
              </w:rPr>
              <w:t>38/57/305</w:t>
            </w:r>
          </w:p>
        </w:tc>
        <w:tc>
          <w:tcPr>
            <w:tcW w:w="104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6</w:t>
            </w:r>
          </w:p>
        </w:tc>
        <w:tc>
          <w:tcPr>
            <w:tcW w:w="1840" w:type="dxa"/>
            <w:tcBorders>
              <w:top w:val="nil"/>
              <w:left w:val="nil"/>
              <w:bottom w:val="single" w:color="000000" w:sz="4" w:space="0"/>
              <w:right w:val="single" w:color="000000" w:sz="4" w:space="0"/>
            </w:tcBorders>
            <w:shd w:val="clear" w:color="auto" w:fill="FAFBFD"/>
            <w:vAlign w:val="top"/>
          </w:tcPr>
          <w:p>
            <w:pPr>
              <w:keepNext w:val="0"/>
              <w:keepLines w:val="0"/>
              <w:widowControl/>
              <w:suppressLineNumbers w:val="0"/>
              <w:jc w:val="center"/>
            </w:pPr>
          </w:p>
        </w:tc>
      </w:tr>
      <w:tr>
        <w:tblPrEx>
          <w:tblBorders>
            <w:top w:val="single" w:color="ECEDF1" w:sz="4" w:space="0"/>
            <w:left w:val="single" w:color="ECEDF1" w:sz="4" w:space="0"/>
            <w:bottom w:val="single" w:color="ECEDF1" w:sz="4" w:space="0"/>
            <w:right w:val="single" w:color="ECEDF1" w:sz="4" w:space="0"/>
            <w:insideH w:val="none" w:color="auto" w:sz="0" w:space="0"/>
            <w:insideV w:val="none" w:color="auto" w:sz="0" w:space="0"/>
          </w:tblBorders>
          <w:shd w:val="clear" w:color="auto" w:fill="FAFBFD"/>
          <w:tblCellMar>
            <w:top w:w="0" w:type="dxa"/>
            <w:left w:w="0" w:type="dxa"/>
            <w:bottom w:w="0" w:type="dxa"/>
            <w:right w:w="0" w:type="dxa"/>
          </w:tblCellMar>
        </w:tblPrEx>
        <w:trPr>
          <w:trHeight w:val="400" w:hRule="atLeast"/>
          <w:jc w:val="center"/>
        </w:trPr>
        <w:tc>
          <w:tcPr>
            <w:tcW w:w="1110" w:type="dxa"/>
            <w:vMerge w:val="continue"/>
            <w:tcBorders>
              <w:top w:val="nil"/>
              <w:left w:val="single" w:color="000000" w:sz="4" w:space="0"/>
              <w:bottom w:val="nil"/>
              <w:right w:val="single" w:color="000000" w:sz="4" w:space="0"/>
            </w:tcBorders>
            <w:shd w:val="clear" w:color="auto" w:fill="FAFBFD"/>
            <w:tcMar>
              <w:top w:w="10" w:type="dxa"/>
              <w:left w:w="10" w:type="dxa"/>
              <w:right w:w="10" w:type="dxa"/>
            </w:tcMar>
            <w:vAlign w:val="center"/>
          </w:tcPr>
          <w:p>
            <w:pPr>
              <w:jc w:val="center"/>
              <w:rPr>
                <w:rFonts w:hint="eastAsia" w:ascii="宋体"/>
                <w:sz w:val="24"/>
                <w:szCs w:val="24"/>
              </w:rPr>
            </w:pPr>
          </w:p>
        </w:tc>
        <w:tc>
          <w:tcPr>
            <w:tcW w:w="161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摄影测量与遥感</w:t>
            </w:r>
          </w:p>
        </w:tc>
        <w:tc>
          <w:tcPr>
            <w:tcW w:w="132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lang w:val="en-US"/>
              </w:rPr>
              <w:t>38/57/305</w:t>
            </w:r>
          </w:p>
        </w:tc>
        <w:tc>
          <w:tcPr>
            <w:tcW w:w="104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5</w:t>
            </w:r>
          </w:p>
        </w:tc>
        <w:tc>
          <w:tcPr>
            <w:tcW w:w="1840" w:type="dxa"/>
            <w:tcBorders>
              <w:top w:val="nil"/>
              <w:left w:val="nil"/>
              <w:bottom w:val="single" w:color="000000" w:sz="4" w:space="0"/>
              <w:right w:val="single" w:color="000000" w:sz="4" w:space="0"/>
            </w:tcBorders>
            <w:shd w:val="clear" w:color="auto" w:fill="FAFBFD"/>
            <w:vAlign w:val="top"/>
          </w:tcPr>
          <w:p>
            <w:pPr>
              <w:keepNext w:val="0"/>
              <w:keepLines w:val="0"/>
              <w:widowControl/>
              <w:suppressLineNumbers w:val="0"/>
              <w:jc w:val="center"/>
            </w:pPr>
          </w:p>
        </w:tc>
      </w:tr>
      <w:tr>
        <w:tblPrEx>
          <w:tblBorders>
            <w:top w:val="single" w:color="ECEDF1" w:sz="4" w:space="0"/>
            <w:left w:val="single" w:color="ECEDF1" w:sz="4" w:space="0"/>
            <w:bottom w:val="single" w:color="ECEDF1" w:sz="4" w:space="0"/>
            <w:right w:val="single" w:color="ECEDF1" w:sz="4" w:space="0"/>
            <w:insideH w:val="none" w:color="auto" w:sz="0" w:space="0"/>
            <w:insideV w:val="none" w:color="auto" w:sz="0" w:space="0"/>
          </w:tblBorders>
          <w:shd w:val="clear" w:color="auto" w:fill="FAFBFD"/>
        </w:tblPrEx>
        <w:trPr>
          <w:trHeight w:val="400" w:hRule="atLeast"/>
          <w:jc w:val="center"/>
        </w:trPr>
        <w:tc>
          <w:tcPr>
            <w:tcW w:w="1110" w:type="dxa"/>
            <w:tcBorders>
              <w:top w:val="nil"/>
              <w:left w:val="single" w:color="000000" w:sz="4" w:space="0"/>
              <w:bottom w:val="single" w:color="000000" w:sz="4" w:space="0"/>
              <w:right w:val="single" w:color="000000" w:sz="4" w:space="0"/>
            </w:tcBorders>
            <w:shd w:val="clear" w:color="auto" w:fill="FAFBFD"/>
            <w:tcMar>
              <w:top w:w="10" w:type="dxa"/>
              <w:left w:w="10" w:type="dxa"/>
              <w:right w:w="10" w:type="dxa"/>
            </w:tcMar>
            <w:vAlign w:val="center"/>
          </w:tcPr>
          <w:p>
            <w:pPr>
              <w:keepNext w:val="0"/>
              <w:keepLines w:val="0"/>
              <w:widowControl/>
              <w:suppressLineNumbers w:val="0"/>
              <w:jc w:val="center"/>
            </w:pPr>
          </w:p>
        </w:tc>
        <w:tc>
          <w:tcPr>
            <w:tcW w:w="161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地图制图学与地理信息工程</w:t>
            </w:r>
          </w:p>
        </w:tc>
        <w:tc>
          <w:tcPr>
            <w:tcW w:w="132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lang w:val="en-US"/>
              </w:rPr>
              <w:t>38/57/305</w:t>
            </w:r>
          </w:p>
        </w:tc>
        <w:tc>
          <w:tcPr>
            <w:tcW w:w="104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2</w:t>
            </w:r>
          </w:p>
        </w:tc>
        <w:tc>
          <w:tcPr>
            <w:tcW w:w="1840" w:type="dxa"/>
            <w:tcBorders>
              <w:top w:val="nil"/>
              <w:left w:val="nil"/>
              <w:bottom w:val="single" w:color="000000" w:sz="4" w:space="0"/>
              <w:right w:val="single" w:color="000000" w:sz="4" w:space="0"/>
            </w:tcBorders>
            <w:shd w:val="clear" w:color="auto" w:fill="FAFBFD"/>
            <w:vAlign w:val="top"/>
          </w:tcPr>
          <w:p>
            <w:pPr>
              <w:keepNext w:val="0"/>
              <w:keepLines w:val="0"/>
              <w:widowControl/>
              <w:suppressLineNumbers w:val="0"/>
              <w:jc w:val="center"/>
            </w:pPr>
          </w:p>
        </w:tc>
      </w:tr>
      <w:tr>
        <w:tblPrEx>
          <w:tblBorders>
            <w:top w:val="single" w:color="ECEDF1" w:sz="4" w:space="0"/>
            <w:left w:val="single" w:color="ECEDF1" w:sz="4" w:space="0"/>
            <w:bottom w:val="single" w:color="ECEDF1" w:sz="4" w:space="0"/>
            <w:right w:val="single" w:color="ECEDF1" w:sz="4" w:space="0"/>
            <w:insideH w:val="none" w:color="auto" w:sz="0" w:space="0"/>
            <w:insideV w:val="none" w:color="auto" w:sz="0" w:space="0"/>
          </w:tblBorders>
          <w:shd w:val="clear" w:color="auto" w:fill="FAFBFD"/>
          <w:tblCellMar>
            <w:top w:w="0" w:type="dxa"/>
            <w:left w:w="0" w:type="dxa"/>
            <w:bottom w:w="0" w:type="dxa"/>
            <w:right w:w="0" w:type="dxa"/>
          </w:tblCellMar>
        </w:tblPrEx>
        <w:trPr>
          <w:trHeight w:val="400" w:hRule="atLeast"/>
          <w:jc w:val="center"/>
        </w:trPr>
        <w:tc>
          <w:tcPr>
            <w:tcW w:w="1110" w:type="dxa"/>
            <w:tcBorders>
              <w:top w:val="nil"/>
              <w:left w:val="single" w:color="000000" w:sz="4" w:space="0"/>
              <w:bottom w:val="single" w:color="000000" w:sz="4" w:space="0"/>
              <w:right w:val="single" w:color="000000" w:sz="4" w:space="0"/>
            </w:tcBorders>
            <w:shd w:val="clear" w:color="auto" w:fill="FAFBFD"/>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lang w:val="en-US"/>
              </w:rPr>
              <w:t>(085400)</w:t>
            </w:r>
          </w:p>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电子信息</w:t>
            </w:r>
          </w:p>
        </w:tc>
        <w:tc>
          <w:tcPr>
            <w:tcW w:w="161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不区分方向</w:t>
            </w:r>
          </w:p>
        </w:tc>
        <w:tc>
          <w:tcPr>
            <w:tcW w:w="132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lang w:val="en-US"/>
              </w:rPr>
              <w:t>38/57/273</w:t>
            </w:r>
          </w:p>
        </w:tc>
        <w:tc>
          <w:tcPr>
            <w:tcW w:w="104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2</w:t>
            </w:r>
          </w:p>
        </w:tc>
        <w:tc>
          <w:tcPr>
            <w:tcW w:w="1840" w:type="dxa"/>
            <w:tcBorders>
              <w:top w:val="nil"/>
              <w:left w:val="nil"/>
              <w:bottom w:val="single" w:color="000000" w:sz="4" w:space="0"/>
              <w:right w:val="single" w:color="000000" w:sz="4" w:space="0"/>
            </w:tcBorders>
            <w:shd w:val="clear" w:color="auto" w:fill="FAFBFD"/>
            <w:vAlign w:val="top"/>
          </w:tcPr>
          <w:p>
            <w:pPr>
              <w:pStyle w:val="3"/>
              <w:keepNext w:val="0"/>
              <w:keepLines w:val="0"/>
              <w:widowControl/>
              <w:suppressLineNumbers w:val="0"/>
              <w:spacing w:before="100" w:beforeAutospacing="0" w:after="100" w:afterAutospacing="0" w:line="225" w:lineRule="atLeast"/>
              <w:ind w:left="0" w:right="0"/>
              <w:jc w:val="center"/>
              <w:textAlignment w:val="center"/>
            </w:pPr>
            <w:r>
              <w:rPr>
                <w:spacing w:val="0"/>
                <w:sz w:val="16"/>
                <w:szCs w:val="16"/>
              </w:rPr>
              <w:t>本科专业为地理信息科学、地理空间信息工程以及遥感科学与技术专业，且有良好编程能力（须提供证明材料）</w:t>
            </w:r>
          </w:p>
        </w:tc>
      </w:tr>
      <w:tr>
        <w:tblPrEx>
          <w:tblBorders>
            <w:top w:val="single" w:color="ECEDF1" w:sz="4" w:space="0"/>
            <w:left w:val="single" w:color="ECEDF1" w:sz="4" w:space="0"/>
            <w:bottom w:val="single" w:color="ECEDF1" w:sz="4" w:space="0"/>
            <w:right w:val="single" w:color="ECEDF1" w:sz="4" w:space="0"/>
            <w:insideH w:val="none" w:color="auto" w:sz="0" w:space="0"/>
            <w:insideV w:val="none" w:color="auto" w:sz="0" w:space="0"/>
          </w:tblBorders>
          <w:shd w:val="clear" w:color="auto" w:fill="FAFBFD"/>
          <w:tblCellMar>
            <w:top w:w="0" w:type="dxa"/>
            <w:left w:w="0" w:type="dxa"/>
            <w:bottom w:w="0" w:type="dxa"/>
            <w:right w:w="0" w:type="dxa"/>
          </w:tblCellMar>
        </w:tblPrEx>
        <w:trPr>
          <w:trHeight w:val="400" w:hRule="atLeast"/>
          <w:jc w:val="center"/>
        </w:trPr>
        <w:tc>
          <w:tcPr>
            <w:tcW w:w="1110" w:type="dxa"/>
            <w:tcBorders>
              <w:top w:val="nil"/>
              <w:left w:val="single" w:color="000000" w:sz="4" w:space="0"/>
              <w:bottom w:val="single" w:color="000000" w:sz="4" w:space="0"/>
              <w:right w:val="single" w:color="000000" w:sz="4" w:space="0"/>
            </w:tcBorders>
            <w:shd w:val="clear" w:color="auto" w:fill="FAFBFD"/>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lang w:val="en-US"/>
              </w:rPr>
              <w:t>(085400)</w:t>
            </w:r>
          </w:p>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电子信息</w:t>
            </w:r>
          </w:p>
        </w:tc>
        <w:tc>
          <w:tcPr>
            <w:tcW w:w="161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非全日制（不区分方向）</w:t>
            </w:r>
          </w:p>
        </w:tc>
        <w:tc>
          <w:tcPr>
            <w:tcW w:w="132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lang w:val="en-US"/>
              </w:rPr>
              <w:t>38/57/273</w:t>
            </w:r>
          </w:p>
        </w:tc>
        <w:tc>
          <w:tcPr>
            <w:tcW w:w="104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2</w:t>
            </w:r>
          </w:p>
        </w:tc>
        <w:tc>
          <w:tcPr>
            <w:tcW w:w="1840" w:type="dxa"/>
            <w:tcBorders>
              <w:top w:val="nil"/>
              <w:left w:val="nil"/>
              <w:bottom w:val="single" w:color="000000" w:sz="4" w:space="0"/>
              <w:right w:val="single" w:color="000000" w:sz="4" w:space="0"/>
            </w:tcBorders>
            <w:shd w:val="clear" w:color="auto" w:fill="FAFBFD"/>
            <w:vAlign w:val="top"/>
          </w:tcPr>
          <w:p>
            <w:pPr>
              <w:keepNext w:val="0"/>
              <w:keepLines w:val="0"/>
              <w:widowControl/>
              <w:suppressLineNumbers w:val="0"/>
              <w:jc w:val="center"/>
            </w:pPr>
          </w:p>
        </w:tc>
      </w:tr>
      <w:tr>
        <w:tblPrEx>
          <w:tblBorders>
            <w:top w:val="single" w:color="ECEDF1" w:sz="4" w:space="0"/>
            <w:left w:val="single" w:color="ECEDF1" w:sz="4" w:space="0"/>
            <w:bottom w:val="single" w:color="ECEDF1" w:sz="4" w:space="0"/>
            <w:right w:val="single" w:color="ECEDF1" w:sz="4" w:space="0"/>
            <w:insideH w:val="none" w:color="auto" w:sz="0" w:space="0"/>
            <w:insideV w:val="none" w:color="auto" w:sz="0" w:space="0"/>
          </w:tblBorders>
          <w:shd w:val="clear" w:color="auto" w:fill="FAFBFD"/>
          <w:tblCellMar>
            <w:top w:w="0" w:type="dxa"/>
            <w:left w:w="0" w:type="dxa"/>
            <w:bottom w:w="0" w:type="dxa"/>
            <w:right w:w="0" w:type="dxa"/>
          </w:tblCellMar>
        </w:tblPrEx>
        <w:trPr>
          <w:trHeight w:val="400" w:hRule="atLeast"/>
          <w:jc w:val="center"/>
        </w:trPr>
        <w:tc>
          <w:tcPr>
            <w:tcW w:w="1110" w:type="dxa"/>
            <w:tcBorders>
              <w:top w:val="nil"/>
              <w:left w:val="single" w:color="000000" w:sz="4" w:space="0"/>
              <w:bottom w:val="nil"/>
              <w:right w:val="single" w:color="000000" w:sz="4" w:space="0"/>
            </w:tcBorders>
            <w:shd w:val="clear" w:color="auto" w:fill="FAFBFD"/>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lang w:val="en-US"/>
              </w:rPr>
              <w:t>(085700)</w:t>
            </w:r>
          </w:p>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资源与环境</w:t>
            </w:r>
          </w:p>
        </w:tc>
        <w:tc>
          <w:tcPr>
            <w:tcW w:w="161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大地测量学与测量工程</w:t>
            </w:r>
          </w:p>
        </w:tc>
        <w:tc>
          <w:tcPr>
            <w:tcW w:w="132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lang w:val="en-US"/>
              </w:rPr>
              <w:t>38/57/335</w:t>
            </w:r>
          </w:p>
        </w:tc>
        <w:tc>
          <w:tcPr>
            <w:tcW w:w="1040" w:type="dxa"/>
            <w:vMerge w:val="restart"/>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sz w:val="19"/>
                <w:szCs w:val="19"/>
              </w:rPr>
              <w:t>6</w:t>
            </w:r>
          </w:p>
        </w:tc>
        <w:tc>
          <w:tcPr>
            <w:tcW w:w="1840" w:type="dxa"/>
            <w:tcBorders>
              <w:top w:val="nil"/>
              <w:left w:val="nil"/>
              <w:bottom w:val="single" w:color="000000" w:sz="4" w:space="0"/>
              <w:right w:val="single" w:color="000000" w:sz="4" w:space="0"/>
            </w:tcBorders>
            <w:shd w:val="clear" w:color="auto" w:fill="FAFBFD"/>
            <w:vAlign w:val="top"/>
          </w:tcPr>
          <w:p>
            <w:pPr>
              <w:pStyle w:val="3"/>
              <w:keepNext w:val="0"/>
              <w:keepLines w:val="0"/>
              <w:widowControl/>
              <w:suppressLineNumbers w:val="0"/>
              <w:spacing w:before="100" w:beforeAutospacing="0" w:after="100" w:afterAutospacing="0"/>
              <w:ind w:left="0" w:right="0"/>
              <w:jc w:val="center"/>
            </w:pPr>
            <w:r>
              <w:rPr>
                <w:spacing w:val="0"/>
                <w:sz w:val="16"/>
                <w:szCs w:val="16"/>
              </w:rPr>
              <w:t>本科专业应为测绘科学与技术学科所属本科专业</w:t>
            </w:r>
          </w:p>
        </w:tc>
      </w:tr>
      <w:tr>
        <w:tblPrEx>
          <w:tblBorders>
            <w:top w:val="single" w:color="ECEDF1" w:sz="4" w:space="0"/>
            <w:left w:val="single" w:color="ECEDF1" w:sz="4" w:space="0"/>
            <w:bottom w:val="single" w:color="ECEDF1" w:sz="4" w:space="0"/>
            <w:right w:val="single" w:color="ECEDF1" w:sz="4" w:space="0"/>
            <w:insideH w:val="none" w:color="auto" w:sz="0" w:space="0"/>
            <w:insideV w:val="none" w:color="auto" w:sz="0" w:space="0"/>
          </w:tblBorders>
          <w:shd w:val="clear" w:color="auto" w:fill="FAFBFD"/>
          <w:tblCellMar>
            <w:top w:w="0" w:type="dxa"/>
            <w:left w:w="0" w:type="dxa"/>
            <w:bottom w:w="0" w:type="dxa"/>
            <w:right w:w="0" w:type="dxa"/>
          </w:tblCellMar>
        </w:tblPrEx>
        <w:trPr>
          <w:trHeight w:val="400" w:hRule="atLeast"/>
          <w:jc w:val="center"/>
        </w:trPr>
        <w:tc>
          <w:tcPr>
            <w:tcW w:w="1110" w:type="dxa"/>
            <w:tcBorders>
              <w:top w:val="nil"/>
              <w:left w:val="single" w:color="000000" w:sz="4" w:space="0"/>
              <w:bottom w:val="nil"/>
              <w:right w:val="single" w:color="000000" w:sz="4" w:space="0"/>
            </w:tcBorders>
            <w:shd w:val="clear" w:color="auto" w:fill="FAFBFD"/>
            <w:tcMar>
              <w:top w:w="10" w:type="dxa"/>
              <w:left w:w="10" w:type="dxa"/>
              <w:right w:w="10" w:type="dxa"/>
            </w:tcMar>
            <w:vAlign w:val="center"/>
          </w:tcPr>
          <w:p>
            <w:pPr>
              <w:keepNext w:val="0"/>
              <w:keepLines w:val="0"/>
              <w:widowControl/>
              <w:suppressLineNumbers w:val="0"/>
              <w:jc w:val="center"/>
            </w:pPr>
          </w:p>
        </w:tc>
        <w:tc>
          <w:tcPr>
            <w:tcW w:w="161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摄影测量与遥感</w:t>
            </w:r>
          </w:p>
        </w:tc>
        <w:tc>
          <w:tcPr>
            <w:tcW w:w="132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lang w:val="en-US"/>
              </w:rPr>
              <w:t>38/57/335</w:t>
            </w:r>
          </w:p>
        </w:tc>
        <w:tc>
          <w:tcPr>
            <w:tcW w:w="1040" w:type="dxa"/>
            <w:vMerge w:val="continue"/>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jc w:val="center"/>
              <w:rPr>
                <w:rFonts w:hint="eastAsia" w:ascii="宋体"/>
                <w:sz w:val="24"/>
                <w:szCs w:val="24"/>
              </w:rPr>
            </w:pPr>
          </w:p>
        </w:tc>
        <w:tc>
          <w:tcPr>
            <w:tcW w:w="1840" w:type="dxa"/>
            <w:tcBorders>
              <w:top w:val="nil"/>
              <w:left w:val="nil"/>
              <w:bottom w:val="single" w:color="000000" w:sz="4" w:space="0"/>
              <w:right w:val="single" w:color="000000" w:sz="4" w:space="0"/>
            </w:tcBorders>
            <w:shd w:val="clear" w:color="auto" w:fill="FAFBFD"/>
            <w:vAlign w:val="top"/>
          </w:tcPr>
          <w:p>
            <w:pPr>
              <w:pStyle w:val="3"/>
              <w:keepNext w:val="0"/>
              <w:keepLines w:val="0"/>
              <w:widowControl/>
              <w:suppressLineNumbers w:val="0"/>
              <w:spacing w:before="100" w:beforeAutospacing="0" w:after="100" w:afterAutospacing="0"/>
              <w:ind w:left="0" w:right="0"/>
              <w:jc w:val="center"/>
            </w:pPr>
            <w:r>
              <w:rPr>
                <w:spacing w:val="0"/>
                <w:sz w:val="16"/>
                <w:szCs w:val="16"/>
              </w:rPr>
              <w:t>本科专业应为测绘科学与技术和地理学学科所属本科专业</w:t>
            </w:r>
          </w:p>
        </w:tc>
      </w:tr>
      <w:tr>
        <w:tblPrEx>
          <w:tblBorders>
            <w:top w:val="single" w:color="ECEDF1" w:sz="4" w:space="0"/>
            <w:left w:val="single" w:color="ECEDF1" w:sz="4" w:space="0"/>
            <w:bottom w:val="single" w:color="ECEDF1" w:sz="4" w:space="0"/>
            <w:right w:val="single" w:color="ECEDF1" w:sz="4" w:space="0"/>
            <w:insideH w:val="none" w:color="auto" w:sz="0" w:space="0"/>
            <w:insideV w:val="none" w:color="auto" w:sz="0" w:space="0"/>
          </w:tblBorders>
          <w:shd w:val="clear" w:color="auto" w:fill="FAFBFD"/>
          <w:tblCellMar>
            <w:top w:w="0" w:type="dxa"/>
            <w:left w:w="0" w:type="dxa"/>
            <w:bottom w:w="0" w:type="dxa"/>
            <w:right w:w="0" w:type="dxa"/>
          </w:tblCellMar>
        </w:tblPrEx>
        <w:trPr>
          <w:trHeight w:val="400" w:hRule="atLeast"/>
          <w:jc w:val="center"/>
        </w:trPr>
        <w:tc>
          <w:tcPr>
            <w:tcW w:w="1110" w:type="dxa"/>
            <w:tcBorders>
              <w:top w:val="nil"/>
              <w:left w:val="single" w:color="000000" w:sz="4" w:space="0"/>
              <w:bottom w:val="single" w:color="000000" w:sz="4" w:space="0"/>
              <w:right w:val="single" w:color="000000" w:sz="4" w:space="0"/>
            </w:tcBorders>
            <w:shd w:val="clear" w:color="auto" w:fill="FAFBFD"/>
            <w:tcMar>
              <w:top w:w="10" w:type="dxa"/>
              <w:left w:w="10" w:type="dxa"/>
              <w:right w:w="10" w:type="dxa"/>
            </w:tcMar>
            <w:vAlign w:val="center"/>
          </w:tcPr>
          <w:p>
            <w:pPr>
              <w:keepNext w:val="0"/>
              <w:keepLines w:val="0"/>
              <w:widowControl/>
              <w:suppressLineNumbers w:val="0"/>
              <w:jc w:val="center"/>
            </w:pPr>
          </w:p>
        </w:tc>
        <w:tc>
          <w:tcPr>
            <w:tcW w:w="161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地图制图学与地理信息工程</w:t>
            </w:r>
          </w:p>
        </w:tc>
        <w:tc>
          <w:tcPr>
            <w:tcW w:w="1320" w:type="dxa"/>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lang w:val="en-US"/>
              </w:rPr>
              <w:t>38/57/350</w:t>
            </w:r>
          </w:p>
        </w:tc>
        <w:tc>
          <w:tcPr>
            <w:tcW w:w="1040" w:type="dxa"/>
            <w:vMerge w:val="continue"/>
            <w:tcBorders>
              <w:top w:val="nil"/>
              <w:left w:val="nil"/>
              <w:bottom w:val="single" w:color="000000" w:sz="4" w:space="0"/>
              <w:right w:val="single" w:color="000000" w:sz="4" w:space="0"/>
            </w:tcBorders>
            <w:shd w:val="clear" w:color="auto" w:fill="FAFBFD"/>
            <w:noWrap/>
            <w:tcMar>
              <w:top w:w="10" w:type="dxa"/>
              <w:left w:w="10" w:type="dxa"/>
              <w:right w:w="10" w:type="dxa"/>
            </w:tcMar>
            <w:vAlign w:val="center"/>
          </w:tcPr>
          <w:p>
            <w:pPr>
              <w:jc w:val="center"/>
              <w:rPr>
                <w:rFonts w:hint="eastAsia" w:ascii="宋体"/>
                <w:sz w:val="24"/>
                <w:szCs w:val="24"/>
              </w:rPr>
            </w:pPr>
          </w:p>
        </w:tc>
        <w:tc>
          <w:tcPr>
            <w:tcW w:w="1840" w:type="dxa"/>
            <w:tcBorders>
              <w:top w:val="nil"/>
              <w:left w:val="nil"/>
              <w:bottom w:val="single" w:color="000000" w:sz="4" w:space="0"/>
              <w:right w:val="single" w:color="000000" w:sz="4" w:space="0"/>
            </w:tcBorders>
            <w:shd w:val="clear" w:color="auto" w:fill="FAFBFD"/>
            <w:vAlign w:val="top"/>
          </w:tcPr>
          <w:p>
            <w:pPr>
              <w:pStyle w:val="3"/>
              <w:keepNext w:val="0"/>
              <w:keepLines w:val="0"/>
              <w:widowControl/>
              <w:suppressLineNumbers w:val="0"/>
              <w:spacing w:before="100" w:beforeAutospacing="0" w:after="100" w:afterAutospacing="0"/>
              <w:ind w:left="0" w:right="0"/>
              <w:jc w:val="center"/>
            </w:pPr>
            <w:r>
              <w:rPr>
                <w:spacing w:val="0"/>
                <w:sz w:val="16"/>
                <w:szCs w:val="16"/>
              </w:rPr>
              <w:t>本科专业应为测绘科学与技术、地理学所属本科专业</w:t>
            </w:r>
          </w:p>
        </w:tc>
      </w:tr>
    </w:tbl>
    <w:p>
      <w:pPr>
        <w:pStyle w:val="3"/>
        <w:keepNext w:val="0"/>
        <w:keepLines w:val="0"/>
        <w:widowControl/>
        <w:suppressLineNumbers w:val="0"/>
        <w:spacing w:before="100" w:beforeAutospacing="0" w:after="100" w:afterAutospacing="0" w:line="225" w:lineRule="atLeast"/>
        <w:ind w:left="0" w:right="0"/>
        <w:jc w:val="both"/>
      </w:pPr>
      <w:r>
        <w:rPr>
          <w:rStyle w:val="6"/>
          <w:rFonts w:hint="eastAsia" w:ascii="仿宋" w:hAnsi="仿宋" w:eastAsia="仿宋" w:cs="仿宋"/>
          <w:b/>
          <w:bCs/>
          <w:color w:val="000000"/>
          <w:spacing w:val="20"/>
          <w:sz w:val="19"/>
          <w:szCs w:val="19"/>
        </w:rPr>
        <w:t>　　三、调剂复试程序</w:t>
      </w:r>
    </w:p>
    <w:p>
      <w:pPr>
        <w:pStyle w:val="3"/>
        <w:keepNext w:val="0"/>
        <w:keepLines w:val="0"/>
        <w:widowControl/>
        <w:suppressLineNumbers w:val="0"/>
        <w:spacing w:before="100" w:beforeAutospacing="0" w:after="100" w:afterAutospacing="0" w:line="225" w:lineRule="atLeast"/>
        <w:ind w:left="0" w:right="0" w:firstLine="370"/>
        <w:jc w:val="both"/>
      </w:pPr>
      <w:r>
        <w:rPr>
          <w:rFonts w:hint="eastAsia" w:ascii="仿宋" w:hAnsi="仿宋" w:eastAsia="仿宋" w:cs="仿宋"/>
          <w:sz w:val="19"/>
          <w:szCs w:val="19"/>
        </w:rPr>
        <w:t>1. 4月6日，研招网调剂服务系统开通。我院将发布调剂余额信息，持续12个小时。请考生在研招网调剂服务系统填报正式调剂志愿信息,调剂志愿锁定时间为36小时。</w:t>
      </w:r>
    </w:p>
    <w:p>
      <w:pPr>
        <w:pStyle w:val="3"/>
        <w:keepNext w:val="0"/>
        <w:keepLines w:val="0"/>
        <w:widowControl/>
        <w:suppressLineNumbers w:val="0"/>
        <w:spacing w:before="100" w:beforeAutospacing="0" w:after="100" w:afterAutospacing="0" w:line="225" w:lineRule="atLeast"/>
        <w:ind w:left="0" w:right="0" w:firstLine="370"/>
        <w:jc w:val="both"/>
      </w:pPr>
      <w:r>
        <w:rPr>
          <w:rFonts w:hint="eastAsia" w:ascii="仿宋" w:hAnsi="仿宋" w:eastAsia="仿宋" w:cs="仿宋"/>
          <w:sz w:val="19"/>
          <w:szCs w:val="19"/>
        </w:rPr>
        <w:t>2. 考生必须在在2小时内接收我院的复试通知，不及时回复的视为自动放弃，取消复试资格。</w:t>
      </w:r>
    </w:p>
    <w:p>
      <w:pPr>
        <w:pStyle w:val="3"/>
        <w:keepNext w:val="0"/>
        <w:keepLines w:val="0"/>
        <w:widowControl/>
        <w:suppressLineNumbers w:val="0"/>
        <w:spacing w:before="100" w:beforeAutospacing="0" w:after="100" w:afterAutospacing="0" w:line="225" w:lineRule="atLeast"/>
        <w:ind w:left="0" w:right="0" w:firstLine="370"/>
        <w:jc w:val="both"/>
      </w:pPr>
      <w:r>
        <w:rPr>
          <w:rFonts w:hint="eastAsia" w:ascii="仿宋" w:hAnsi="仿宋" w:eastAsia="仿宋" w:cs="仿宋"/>
          <w:sz w:val="19"/>
          <w:szCs w:val="19"/>
        </w:rPr>
        <w:t>3. 复试通过后考生必须在2小时内接收我院待录取通知。不及时回复的视为自动放弃，取消待录取资格。</w:t>
      </w:r>
    </w:p>
    <w:p>
      <w:pPr>
        <w:pStyle w:val="3"/>
        <w:keepNext w:val="0"/>
        <w:keepLines w:val="0"/>
        <w:widowControl/>
        <w:suppressLineNumbers w:val="0"/>
        <w:spacing w:before="100" w:beforeAutospacing="0" w:after="100" w:afterAutospacing="0" w:line="225" w:lineRule="atLeast"/>
        <w:ind w:left="0" w:right="0" w:firstLine="370"/>
        <w:jc w:val="both"/>
      </w:pPr>
      <w:r>
        <w:rPr>
          <w:rFonts w:hint="eastAsia" w:ascii="仿宋" w:hAnsi="仿宋" w:eastAsia="仿宋" w:cs="仿宋"/>
          <w:sz w:val="19"/>
          <w:szCs w:val="19"/>
        </w:rPr>
        <w:t>4. 最终调剂录取结果以中国研究生招生信息网为准，同时请关注我院网站相关通知。</w:t>
      </w:r>
    </w:p>
    <w:p>
      <w:pPr>
        <w:pStyle w:val="3"/>
        <w:keepNext w:val="0"/>
        <w:keepLines w:val="0"/>
        <w:widowControl/>
        <w:suppressLineNumbers w:val="0"/>
        <w:spacing w:before="100" w:beforeAutospacing="0" w:after="100" w:afterAutospacing="0" w:line="225" w:lineRule="atLeast"/>
        <w:ind w:left="0" w:right="0" w:firstLine="420"/>
        <w:jc w:val="both"/>
      </w:pPr>
      <w:r>
        <w:rPr>
          <w:rStyle w:val="6"/>
          <w:rFonts w:hint="eastAsia" w:ascii="仿宋" w:hAnsi="仿宋" w:eastAsia="仿宋" w:cs="仿宋"/>
          <w:b/>
          <w:bCs/>
          <w:color w:val="000000"/>
          <w:spacing w:val="20"/>
          <w:sz w:val="19"/>
          <w:szCs w:val="19"/>
        </w:rPr>
        <w:t>四、调剂复试安排</w:t>
      </w:r>
    </w:p>
    <w:p>
      <w:pPr>
        <w:pStyle w:val="3"/>
        <w:keepNext w:val="0"/>
        <w:keepLines w:val="0"/>
        <w:widowControl/>
        <w:suppressLineNumbers w:val="0"/>
        <w:spacing w:before="100" w:beforeAutospacing="0" w:after="100" w:afterAutospacing="0" w:line="225" w:lineRule="atLeast"/>
        <w:ind w:left="0" w:right="0" w:firstLine="420"/>
        <w:jc w:val="both"/>
      </w:pPr>
      <w:r>
        <w:rPr>
          <w:rStyle w:val="6"/>
          <w:rFonts w:hint="eastAsia" w:ascii="仿宋" w:hAnsi="仿宋" w:eastAsia="仿宋" w:cs="仿宋"/>
          <w:b w:val="0"/>
          <w:bCs w:val="0"/>
          <w:color w:val="000000"/>
          <w:spacing w:val="20"/>
          <w:sz w:val="19"/>
          <w:szCs w:val="19"/>
        </w:rPr>
        <w:t>（一）</w:t>
      </w:r>
      <w:r>
        <w:rPr>
          <w:rStyle w:val="6"/>
          <w:rFonts w:hint="eastAsia" w:ascii="仿宋" w:hAnsi="仿宋" w:eastAsia="仿宋" w:cs="仿宋"/>
          <w:b/>
          <w:bCs/>
          <w:sz w:val="19"/>
          <w:szCs w:val="19"/>
        </w:rPr>
        <w:t>调剂复试形式</w:t>
      </w:r>
    </w:p>
    <w:p>
      <w:pPr>
        <w:pStyle w:val="3"/>
        <w:keepNext w:val="0"/>
        <w:keepLines w:val="0"/>
        <w:widowControl/>
        <w:suppressLineNumbers w:val="0"/>
        <w:spacing w:before="100" w:beforeAutospacing="0" w:after="100" w:afterAutospacing="0" w:line="225" w:lineRule="atLeast"/>
        <w:ind w:left="0" w:right="0" w:firstLine="370"/>
        <w:jc w:val="both"/>
      </w:pPr>
      <w:r>
        <w:rPr>
          <w:rFonts w:hint="eastAsia" w:ascii="仿宋" w:hAnsi="仿宋" w:eastAsia="仿宋" w:cs="仿宋"/>
          <w:sz w:val="19"/>
          <w:szCs w:val="19"/>
        </w:rPr>
        <w:t>2023年我院调剂复试形式为线下现场复试。</w:t>
      </w:r>
    </w:p>
    <w:p>
      <w:pPr>
        <w:pStyle w:val="3"/>
        <w:keepNext w:val="0"/>
        <w:keepLines w:val="0"/>
        <w:widowControl/>
        <w:suppressLineNumbers w:val="0"/>
        <w:spacing w:before="100" w:beforeAutospacing="0" w:after="100" w:afterAutospacing="0" w:line="225" w:lineRule="atLeast"/>
        <w:ind w:left="0" w:right="0" w:firstLine="370"/>
        <w:jc w:val="both"/>
      </w:pPr>
      <w:r>
        <w:rPr>
          <w:rFonts w:hint="eastAsia" w:ascii="仿宋" w:hAnsi="仿宋" w:eastAsia="仿宋" w:cs="仿宋"/>
          <w:sz w:val="19"/>
          <w:szCs w:val="19"/>
        </w:rPr>
        <w:t>资格审查时间地点：2023年4月10日下午2点半至4点，地点南望山校区东教楼C0305。</w:t>
      </w:r>
    </w:p>
    <w:p>
      <w:pPr>
        <w:pStyle w:val="3"/>
        <w:keepNext w:val="0"/>
        <w:keepLines w:val="0"/>
        <w:widowControl/>
        <w:suppressLineNumbers w:val="0"/>
        <w:spacing w:before="100" w:beforeAutospacing="0" w:after="100" w:afterAutospacing="0" w:line="225" w:lineRule="atLeast"/>
        <w:ind w:left="0" w:right="0" w:firstLine="370"/>
        <w:jc w:val="both"/>
      </w:pPr>
      <w:r>
        <w:rPr>
          <w:rFonts w:hint="eastAsia" w:ascii="仿宋" w:hAnsi="仿宋" w:eastAsia="仿宋" w:cs="仿宋"/>
          <w:sz w:val="19"/>
          <w:szCs w:val="19"/>
        </w:rPr>
        <w:t>笔试、面试于2023年4月10日下午至2023年4月11日完成，地点均在南望山校区进行，具体安排见学院网站后继通知。</w:t>
      </w:r>
    </w:p>
    <w:p>
      <w:pPr>
        <w:pStyle w:val="3"/>
        <w:keepNext w:val="0"/>
        <w:keepLines w:val="0"/>
        <w:widowControl/>
        <w:suppressLineNumbers w:val="0"/>
        <w:spacing w:before="100" w:beforeAutospacing="0" w:after="100" w:afterAutospacing="0" w:line="225" w:lineRule="atLeast"/>
        <w:ind w:left="0" w:right="0" w:firstLine="370"/>
        <w:jc w:val="both"/>
      </w:pPr>
    </w:p>
    <w:p>
      <w:pPr>
        <w:pStyle w:val="3"/>
        <w:keepNext w:val="0"/>
        <w:keepLines w:val="0"/>
        <w:widowControl/>
        <w:suppressLineNumbers w:val="0"/>
        <w:spacing w:before="100" w:beforeAutospacing="0" w:after="100" w:afterAutospacing="0" w:line="225" w:lineRule="atLeast"/>
        <w:ind w:left="0" w:right="0" w:firstLine="420"/>
        <w:jc w:val="both"/>
      </w:pPr>
      <w:r>
        <w:rPr>
          <w:rStyle w:val="6"/>
          <w:rFonts w:hint="eastAsia" w:ascii="宋体" w:hAnsi="宋体" w:eastAsia="宋体" w:cs="宋体"/>
          <w:b/>
          <w:bCs/>
          <w:color w:val="000000"/>
          <w:spacing w:val="20"/>
          <w:sz w:val="19"/>
          <w:szCs w:val="19"/>
        </w:rPr>
        <w:t>（二）资格审查</w:t>
      </w:r>
    </w:p>
    <w:p>
      <w:pPr>
        <w:pStyle w:val="3"/>
        <w:keepNext w:val="0"/>
        <w:keepLines w:val="0"/>
        <w:widowControl/>
        <w:suppressLineNumbers w:val="0"/>
        <w:spacing w:before="100" w:beforeAutospacing="0" w:after="0" w:afterAutospacing="0" w:line="225" w:lineRule="atLeast"/>
        <w:ind w:left="0" w:right="0" w:firstLine="380"/>
        <w:jc w:val="both"/>
      </w:pPr>
      <w:r>
        <w:rPr>
          <w:rFonts w:hint="eastAsia" w:ascii="仿宋" w:hAnsi="仿宋" w:eastAsia="仿宋" w:cs="仿宋"/>
          <w:color w:val="000000"/>
        </w:rPr>
        <w:t>1. 资格审查材料清单</w:t>
      </w:r>
    </w:p>
    <w:p>
      <w:pPr>
        <w:pStyle w:val="3"/>
        <w:keepNext w:val="0"/>
        <w:keepLines w:val="0"/>
        <w:widowControl/>
        <w:suppressLineNumbers w:val="0"/>
        <w:spacing w:before="100" w:beforeAutospacing="0" w:after="0" w:afterAutospacing="0" w:line="225" w:lineRule="atLeast"/>
        <w:ind w:left="0" w:right="0" w:firstLine="380"/>
        <w:jc w:val="both"/>
      </w:pPr>
      <w:r>
        <w:rPr>
          <w:rFonts w:hint="eastAsia" w:ascii="仿宋" w:hAnsi="仿宋" w:eastAsia="仿宋" w:cs="仿宋"/>
          <w:color w:val="000000"/>
        </w:rPr>
        <w:t>①本人二代身份证；</w:t>
      </w:r>
    </w:p>
    <w:p>
      <w:pPr>
        <w:pStyle w:val="3"/>
        <w:keepNext w:val="0"/>
        <w:keepLines w:val="0"/>
        <w:widowControl/>
        <w:suppressLineNumbers w:val="0"/>
        <w:spacing w:before="100" w:beforeAutospacing="0" w:after="0" w:afterAutospacing="0" w:line="225" w:lineRule="atLeast"/>
        <w:ind w:left="0" w:right="0" w:firstLine="380"/>
        <w:jc w:val="both"/>
      </w:pPr>
      <w:r>
        <w:rPr>
          <w:rFonts w:hint="eastAsia" w:ascii="仿宋" w:hAnsi="仿宋" w:eastAsia="仿宋" w:cs="仿宋"/>
          <w:color w:val="000000"/>
        </w:rPr>
        <w:t>②毕业证书原件及复印件（应届本科毕业生须持学生证或学籍在线验证报告，应届本科生入学前不能取得毕业证书的取消其入学资格；学历有疑问的考生须提供学历认证报告或电子注册备案表）；</w:t>
      </w:r>
    </w:p>
    <w:p>
      <w:pPr>
        <w:pStyle w:val="3"/>
        <w:keepNext w:val="0"/>
        <w:keepLines w:val="0"/>
        <w:widowControl/>
        <w:suppressLineNumbers w:val="0"/>
        <w:spacing w:before="100" w:beforeAutospacing="0" w:after="0" w:afterAutospacing="0" w:line="225" w:lineRule="atLeast"/>
        <w:ind w:left="0" w:right="0" w:firstLine="380"/>
        <w:jc w:val="both"/>
      </w:pPr>
      <w:r>
        <w:rPr>
          <w:rFonts w:hint="eastAsia" w:ascii="仿宋" w:hAnsi="仿宋" w:eastAsia="仿宋" w:cs="仿宋"/>
          <w:color w:val="000000"/>
        </w:rPr>
        <w:t>③初试准考证；</w:t>
      </w:r>
    </w:p>
    <w:p>
      <w:pPr>
        <w:pStyle w:val="3"/>
        <w:keepNext w:val="0"/>
        <w:keepLines w:val="0"/>
        <w:widowControl/>
        <w:suppressLineNumbers w:val="0"/>
        <w:spacing w:before="100" w:beforeAutospacing="0" w:after="0" w:afterAutospacing="0" w:line="225" w:lineRule="atLeast"/>
        <w:ind w:left="0" w:right="0" w:firstLine="380"/>
        <w:jc w:val="both"/>
      </w:pPr>
      <w:r>
        <w:rPr>
          <w:rFonts w:hint="eastAsia" w:ascii="仿宋" w:hAnsi="仿宋" w:eastAsia="仿宋" w:cs="仿宋"/>
          <w:color w:val="000000"/>
        </w:rPr>
        <w:t>④对于不符合报考条件者，资格审查不予通过。所有资格审查材料必须为原件，并上交复印件。资格审查不通过者不予复试。</w:t>
      </w:r>
    </w:p>
    <w:p>
      <w:pPr>
        <w:pStyle w:val="3"/>
        <w:keepNext w:val="0"/>
        <w:keepLines w:val="0"/>
        <w:widowControl/>
        <w:suppressLineNumbers w:val="0"/>
        <w:spacing w:before="100" w:beforeAutospacing="0" w:after="0" w:afterAutospacing="0" w:line="225" w:lineRule="atLeast"/>
        <w:ind w:left="0" w:right="0" w:firstLine="380"/>
        <w:jc w:val="both"/>
      </w:pPr>
      <w:r>
        <w:rPr>
          <w:rFonts w:hint="eastAsia" w:ascii="仿宋" w:hAnsi="仿宋" w:eastAsia="仿宋" w:cs="仿宋"/>
          <w:color w:val="000000"/>
        </w:rPr>
        <w:t>⑤中国地质大学(武汉)2023年硕士研究生招生复试诚信应考及保密承诺书，签名提交审查人员。</w:t>
      </w:r>
    </w:p>
    <w:p>
      <w:pPr>
        <w:pStyle w:val="3"/>
        <w:keepNext w:val="0"/>
        <w:keepLines w:val="0"/>
        <w:widowControl/>
        <w:suppressLineNumbers w:val="0"/>
        <w:spacing w:before="100" w:beforeAutospacing="0" w:after="0" w:afterAutospacing="0" w:line="225" w:lineRule="atLeast"/>
        <w:ind w:left="0" w:right="0" w:firstLine="380"/>
        <w:jc w:val="both"/>
      </w:pPr>
      <w:r>
        <w:rPr>
          <w:rStyle w:val="6"/>
          <w:rFonts w:hint="eastAsia" w:ascii="仿宋" w:hAnsi="仿宋" w:eastAsia="仿宋" w:cs="仿宋"/>
          <w:b/>
          <w:bCs/>
          <w:color w:val="000000"/>
          <w:lang w:val="en-US"/>
        </w:rPr>
        <w:t>2. </w:t>
      </w:r>
      <w:r>
        <w:rPr>
          <w:rStyle w:val="6"/>
          <w:rFonts w:hint="eastAsia" w:ascii="仿宋" w:hAnsi="仿宋" w:eastAsia="仿宋" w:cs="仿宋"/>
          <w:b/>
          <w:bCs/>
          <w:color w:val="000000"/>
        </w:rPr>
        <w:t>资格审查时间和地点</w:t>
      </w:r>
    </w:p>
    <w:p>
      <w:pPr>
        <w:pStyle w:val="3"/>
        <w:keepNext w:val="0"/>
        <w:keepLines w:val="0"/>
        <w:widowControl/>
        <w:suppressLineNumbers w:val="0"/>
        <w:spacing w:before="100" w:beforeAutospacing="0" w:after="0" w:afterAutospacing="0" w:line="225" w:lineRule="atLeast"/>
        <w:ind w:left="0" w:right="0" w:firstLine="380"/>
        <w:jc w:val="both"/>
      </w:pPr>
      <w:r>
        <w:rPr>
          <w:rFonts w:hint="eastAsia" w:ascii="仿宋" w:hAnsi="仿宋" w:eastAsia="仿宋" w:cs="仿宋"/>
          <w:color w:val="000000"/>
        </w:rPr>
        <w:t>审查时间：</w:t>
      </w:r>
      <w:r>
        <w:rPr>
          <w:rFonts w:hint="eastAsia" w:ascii="仿宋" w:hAnsi="仿宋" w:eastAsia="仿宋" w:cs="仿宋"/>
        </w:rPr>
        <w:t> 2023年4月10日下午2点半至4点。</w:t>
      </w:r>
    </w:p>
    <w:p>
      <w:pPr>
        <w:pStyle w:val="3"/>
        <w:keepNext w:val="0"/>
        <w:keepLines w:val="0"/>
        <w:widowControl/>
        <w:suppressLineNumbers w:val="0"/>
        <w:spacing w:before="100" w:beforeAutospacing="0" w:after="0" w:afterAutospacing="0" w:line="225" w:lineRule="atLeast"/>
        <w:ind w:left="0" w:right="0" w:firstLine="380"/>
        <w:jc w:val="both"/>
      </w:pPr>
      <w:r>
        <w:rPr>
          <w:rFonts w:hint="eastAsia" w:ascii="仿宋" w:hAnsi="仿宋" w:eastAsia="仿宋" w:cs="仿宋"/>
          <w:color w:val="000000"/>
        </w:rPr>
        <w:t>审查地点：</w:t>
      </w:r>
      <w:r>
        <w:rPr>
          <w:rFonts w:hint="eastAsia" w:ascii="仿宋" w:hAnsi="仿宋" w:eastAsia="仿宋" w:cs="仿宋"/>
        </w:rPr>
        <w:t>南望山校区东教楼C0305。</w:t>
      </w:r>
    </w:p>
    <w:p>
      <w:pPr>
        <w:pStyle w:val="3"/>
        <w:keepNext w:val="0"/>
        <w:keepLines w:val="0"/>
        <w:widowControl/>
        <w:suppressLineNumbers w:val="0"/>
        <w:spacing w:before="100" w:beforeAutospacing="0" w:after="0" w:afterAutospacing="0" w:line="225" w:lineRule="atLeast"/>
        <w:ind w:left="0" w:right="0" w:firstLine="380"/>
        <w:jc w:val="both"/>
      </w:pPr>
      <w:r>
        <w:rPr>
          <w:rFonts w:hint="eastAsia" w:ascii="仿宋" w:hAnsi="仿宋" w:eastAsia="仿宋" w:cs="仿宋"/>
        </w:rPr>
        <w:t>提示：请考生特别注意地点在</w:t>
      </w:r>
      <w:r>
        <w:rPr>
          <w:rStyle w:val="6"/>
          <w:rFonts w:hint="eastAsia" w:ascii="仿宋" w:hAnsi="仿宋" w:eastAsia="仿宋" w:cs="仿宋"/>
          <w:b/>
          <w:bCs/>
        </w:rPr>
        <w:t>南望山校区</w:t>
      </w:r>
      <w:r>
        <w:rPr>
          <w:rFonts w:hint="eastAsia" w:ascii="仿宋" w:hAnsi="仿宋" w:eastAsia="仿宋" w:cs="仿宋"/>
        </w:rPr>
        <w:t>。</w:t>
      </w:r>
    </w:p>
    <w:p>
      <w:pPr>
        <w:pStyle w:val="3"/>
        <w:keepNext w:val="0"/>
        <w:keepLines w:val="0"/>
        <w:widowControl/>
        <w:suppressLineNumbers w:val="0"/>
        <w:spacing w:before="100" w:beforeAutospacing="0" w:after="0" w:afterAutospacing="0" w:line="225" w:lineRule="atLeast"/>
        <w:ind w:left="0" w:right="0" w:firstLine="380"/>
        <w:jc w:val="both"/>
      </w:pPr>
      <w:r>
        <w:rPr>
          <w:rStyle w:val="6"/>
          <w:rFonts w:hint="eastAsia" w:ascii="宋体" w:hAnsi="宋体" w:eastAsia="宋体" w:cs="宋体"/>
          <w:b/>
          <w:bCs/>
          <w:color w:val="000000"/>
          <w:spacing w:val="20"/>
          <w:sz w:val="19"/>
          <w:szCs w:val="19"/>
        </w:rPr>
        <w:t>（三）复试考核内容</w:t>
      </w:r>
    </w:p>
    <w:p>
      <w:pPr>
        <w:pStyle w:val="3"/>
        <w:keepNext w:val="0"/>
        <w:keepLines w:val="0"/>
        <w:widowControl/>
        <w:suppressLineNumbers w:val="0"/>
        <w:spacing w:before="100" w:beforeAutospacing="0" w:after="0" w:afterAutospacing="0"/>
        <w:ind w:left="0" w:right="0" w:firstLine="470"/>
        <w:jc w:val="both"/>
      </w:pPr>
      <w:r>
        <w:rPr>
          <w:rFonts w:hint="eastAsia" w:ascii="仿宋" w:hAnsi="仿宋" w:eastAsia="仿宋" w:cs="仿宋"/>
          <w:color w:val="000000"/>
          <w:sz w:val="19"/>
          <w:szCs w:val="19"/>
        </w:rPr>
        <w:t>复试主要考查考生的思想政治素质、专业素养、创新能力、外语水平、培养潜质、心理健康等方面的内容。</w:t>
      </w:r>
    </w:p>
    <w:p>
      <w:pPr>
        <w:pStyle w:val="3"/>
        <w:keepNext w:val="0"/>
        <w:keepLines w:val="0"/>
        <w:widowControl/>
        <w:suppressLineNumbers w:val="0"/>
        <w:spacing w:before="100" w:beforeAutospacing="0" w:after="0" w:afterAutospacing="0"/>
        <w:ind w:left="0" w:right="0" w:firstLine="470"/>
        <w:jc w:val="both"/>
      </w:pPr>
      <w:r>
        <w:rPr>
          <w:rStyle w:val="6"/>
          <w:rFonts w:hint="eastAsia" w:ascii="仿宋" w:hAnsi="仿宋" w:eastAsia="仿宋" w:cs="仿宋"/>
          <w:b/>
          <w:bCs/>
          <w:color w:val="000000"/>
          <w:sz w:val="19"/>
          <w:szCs w:val="19"/>
          <w:lang w:val="en-US"/>
        </w:rPr>
        <w:t>1. </w:t>
      </w:r>
      <w:r>
        <w:rPr>
          <w:rStyle w:val="6"/>
          <w:rFonts w:hint="eastAsia" w:ascii="仿宋" w:hAnsi="仿宋" w:eastAsia="仿宋" w:cs="仿宋"/>
          <w:b/>
          <w:bCs/>
          <w:color w:val="000000"/>
          <w:sz w:val="19"/>
          <w:szCs w:val="19"/>
        </w:rPr>
        <w:t>专业课笔试。</w:t>
      </w:r>
      <w:r>
        <w:rPr>
          <w:rFonts w:hint="eastAsia" w:ascii="仿宋" w:hAnsi="仿宋" w:eastAsia="仿宋" w:cs="仿宋"/>
          <w:color w:val="000000"/>
          <w:sz w:val="19"/>
          <w:szCs w:val="19"/>
        </w:rPr>
        <w:t>笔试考试时长为</w:t>
      </w:r>
      <w:r>
        <w:rPr>
          <w:rFonts w:hint="eastAsia" w:ascii="仿宋" w:hAnsi="仿宋" w:eastAsia="仿宋" w:cs="仿宋"/>
          <w:color w:val="000000"/>
          <w:sz w:val="19"/>
          <w:szCs w:val="19"/>
          <w:lang w:val="en-US"/>
        </w:rPr>
        <w:t>2</w:t>
      </w:r>
      <w:r>
        <w:rPr>
          <w:rFonts w:hint="eastAsia" w:ascii="仿宋" w:hAnsi="仿宋" w:eastAsia="仿宋" w:cs="仿宋"/>
          <w:color w:val="000000"/>
          <w:sz w:val="19"/>
          <w:szCs w:val="19"/>
        </w:rPr>
        <w:t>小时，此项满分为</w:t>
      </w:r>
      <w:r>
        <w:rPr>
          <w:rFonts w:hint="eastAsia" w:ascii="仿宋" w:hAnsi="仿宋" w:eastAsia="仿宋" w:cs="仿宋"/>
          <w:color w:val="000000"/>
          <w:sz w:val="19"/>
          <w:szCs w:val="19"/>
          <w:lang w:val="en-US"/>
        </w:rPr>
        <w:t>100</w:t>
      </w:r>
      <w:r>
        <w:rPr>
          <w:rFonts w:hint="eastAsia" w:ascii="仿宋" w:hAnsi="仿宋" w:eastAsia="仿宋" w:cs="仿宋"/>
          <w:color w:val="000000"/>
          <w:sz w:val="19"/>
          <w:szCs w:val="19"/>
        </w:rPr>
        <w:t>分。各专业方向具体笔试科目见</w:t>
      </w:r>
      <w:r>
        <w:rPr>
          <w:rFonts w:hint="eastAsia" w:ascii="仿宋" w:hAnsi="仿宋" w:eastAsia="仿宋" w:cs="仿宋"/>
          <w:color w:val="000000"/>
          <w:sz w:val="19"/>
          <w:szCs w:val="19"/>
          <w:lang w:val="en-US"/>
        </w:rPr>
        <w:t>https://xgxy.cug.edu.cn/info/1025/4786.htm</w:t>
      </w:r>
      <w:r>
        <w:rPr>
          <w:rFonts w:hint="eastAsia" w:ascii="仿宋" w:hAnsi="仿宋" w:eastAsia="仿宋" w:cs="仿宋"/>
          <w:color w:val="000000"/>
          <w:sz w:val="19"/>
          <w:szCs w:val="19"/>
        </w:rPr>
        <w:t>。</w:t>
      </w:r>
    </w:p>
    <w:p>
      <w:pPr>
        <w:pStyle w:val="3"/>
        <w:keepNext w:val="0"/>
        <w:keepLines w:val="0"/>
        <w:widowControl/>
        <w:suppressLineNumbers w:val="0"/>
        <w:spacing w:before="100" w:beforeAutospacing="0" w:after="0" w:afterAutospacing="0"/>
        <w:ind w:left="0" w:right="0" w:firstLine="470"/>
        <w:jc w:val="both"/>
      </w:pPr>
      <w:r>
        <w:rPr>
          <w:rStyle w:val="6"/>
          <w:rFonts w:hint="eastAsia" w:ascii="仿宋" w:hAnsi="仿宋" w:eastAsia="仿宋" w:cs="仿宋"/>
          <w:b/>
          <w:bCs/>
          <w:color w:val="000000"/>
          <w:sz w:val="19"/>
          <w:szCs w:val="19"/>
          <w:lang w:val="en-US"/>
        </w:rPr>
        <w:t>2. </w:t>
      </w:r>
      <w:r>
        <w:rPr>
          <w:rStyle w:val="6"/>
          <w:rFonts w:hint="eastAsia" w:ascii="仿宋" w:hAnsi="仿宋" w:eastAsia="仿宋" w:cs="仿宋"/>
          <w:b/>
          <w:bCs/>
          <w:color w:val="000000"/>
          <w:sz w:val="19"/>
          <w:szCs w:val="19"/>
        </w:rPr>
        <w:t>综合面试。</w:t>
      </w:r>
      <w:r>
        <w:rPr>
          <w:rFonts w:hint="eastAsia" w:ascii="仿宋" w:hAnsi="仿宋" w:eastAsia="仿宋" w:cs="仿宋"/>
          <w:color w:val="000000"/>
          <w:sz w:val="19"/>
          <w:szCs w:val="19"/>
        </w:rPr>
        <w:t>考核时长一般不少于</w:t>
      </w:r>
      <w:r>
        <w:rPr>
          <w:rFonts w:hint="eastAsia" w:ascii="仿宋" w:hAnsi="仿宋" w:eastAsia="仿宋" w:cs="仿宋"/>
          <w:color w:val="000000"/>
          <w:sz w:val="19"/>
          <w:szCs w:val="19"/>
          <w:lang w:val="en-US"/>
        </w:rPr>
        <w:t>20</w:t>
      </w:r>
      <w:r>
        <w:rPr>
          <w:rFonts w:hint="eastAsia" w:ascii="仿宋" w:hAnsi="仿宋" w:eastAsia="仿宋" w:cs="仿宋"/>
          <w:color w:val="000000"/>
          <w:sz w:val="19"/>
          <w:szCs w:val="19"/>
        </w:rPr>
        <w:t>分钟。</w:t>
      </w:r>
    </w:p>
    <w:p>
      <w:pPr>
        <w:pStyle w:val="3"/>
        <w:keepNext w:val="0"/>
        <w:keepLines w:val="0"/>
        <w:widowControl/>
        <w:suppressLineNumbers w:val="0"/>
        <w:spacing w:before="100" w:beforeAutospacing="0" w:after="0" w:afterAutospacing="0"/>
        <w:ind w:left="0" w:right="0" w:firstLine="470"/>
        <w:jc w:val="both"/>
      </w:pPr>
      <w:r>
        <w:rPr>
          <w:rStyle w:val="6"/>
          <w:rFonts w:hint="eastAsia" w:ascii="仿宋" w:hAnsi="仿宋" w:eastAsia="仿宋" w:cs="仿宋"/>
          <w:b/>
          <w:bCs/>
          <w:color w:val="000000"/>
          <w:sz w:val="19"/>
          <w:szCs w:val="19"/>
          <w:lang w:val="en-US"/>
        </w:rPr>
        <w:t>3. </w:t>
      </w:r>
      <w:r>
        <w:rPr>
          <w:rStyle w:val="6"/>
          <w:rFonts w:hint="eastAsia" w:ascii="仿宋" w:hAnsi="仿宋" w:eastAsia="仿宋" w:cs="仿宋"/>
          <w:b/>
          <w:bCs/>
          <w:color w:val="000000"/>
          <w:sz w:val="19"/>
          <w:szCs w:val="19"/>
        </w:rPr>
        <w:t>复试评分细则</w:t>
      </w:r>
    </w:p>
    <w:p>
      <w:pPr>
        <w:pStyle w:val="3"/>
        <w:keepNext w:val="0"/>
        <w:keepLines w:val="0"/>
        <w:widowControl/>
        <w:suppressLineNumbers w:val="0"/>
        <w:spacing w:before="100" w:beforeAutospacing="0" w:after="0" w:afterAutospacing="0"/>
        <w:ind w:left="0" w:right="0" w:firstLine="370"/>
        <w:jc w:val="both"/>
      </w:pPr>
      <w:r>
        <w:rPr>
          <w:rFonts w:hint="eastAsia" w:ascii="仿宋" w:hAnsi="仿宋" w:eastAsia="仿宋" w:cs="仿宋"/>
          <w:color w:val="000000"/>
          <w:sz w:val="19"/>
          <w:szCs w:val="19"/>
        </w:rPr>
        <w:t>满分</w:t>
      </w:r>
      <w:r>
        <w:rPr>
          <w:rFonts w:hint="eastAsia" w:ascii="仿宋" w:hAnsi="仿宋" w:eastAsia="仿宋" w:cs="仿宋"/>
          <w:color w:val="000000"/>
          <w:sz w:val="19"/>
          <w:szCs w:val="19"/>
          <w:lang w:val="en-US"/>
        </w:rPr>
        <w:t>200</w:t>
      </w:r>
      <w:r>
        <w:rPr>
          <w:rFonts w:hint="eastAsia" w:ascii="仿宋" w:hAnsi="仿宋" w:eastAsia="仿宋" w:cs="仿宋"/>
          <w:color w:val="000000"/>
          <w:sz w:val="19"/>
          <w:szCs w:val="19"/>
        </w:rPr>
        <w:t>分，精确至小数点后两位。考核要点和分值情况如下：</w:t>
      </w:r>
    </w:p>
    <w:p>
      <w:pPr>
        <w:pStyle w:val="3"/>
        <w:keepNext w:val="0"/>
        <w:keepLines w:val="0"/>
        <w:widowControl/>
        <w:suppressLineNumbers w:val="0"/>
        <w:spacing w:before="100" w:beforeAutospacing="0" w:after="0" w:afterAutospacing="0"/>
        <w:ind w:left="0" w:right="0" w:firstLine="370"/>
      </w:pPr>
      <w:r>
        <w:rPr>
          <w:rFonts w:hint="eastAsia" w:ascii="仿宋" w:hAnsi="仿宋" w:eastAsia="仿宋" w:cs="仿宋"/>
          <w:color w:val="000000"/>
          <w:sz w:val="19"/>
          <w:szCs w:val="19"/>
          <w:lang w:val="en-US"/>
        </w:rPr>
        <w:t>1</w:t>
      </w:r>
      <w:r>
        <w:rPr>
          <w:rFonts w:hint="eastAsia" w:ascii="仿宋" w:hAnsi="仿宋" w:eastAsia="仿宋" w:cs="仿宋"/>
          <w:color w:val="000000"/>
          <w:sz w:val="19"/>
          <w:szCs w:val="19"/>
        </w:rPr>
        <w:t>）综合素质：重在考查考生大学期间成果成效，如思想政治素质和道德品质、学业成绩、社会实践、现实表现、人文素养、举止礼仪等；</w:t>
      </w:r>
    </w:p>
    <w:p>
      <w:pPr>
        <w:pStyle w:val="3"/>
        <w:keepNext w:val="0"/>
        <w:keepLines w:val="0"/>
        <w:widowControl/>
        <w:suppressLineNumbers w:val="0"/>
        <w:spacing w:before="40" w:beforeAutospacing="0" w:after="0" w:afterAutospacing="0" w:line="225" w:lineRule="atLeast"/>
        <w:ind w:left="0" w:right="0" w:firstLine="370"/>
      </w:pPr>
      <w:r>
        <w:rPr>
          <w:rFonts w:hint="eastAsia" w:ascii="仿宋" w:hAnsi="仿宋" w:eastAsia="仿宋" w:cs="仿宋"/>
          <w:color w:val="000000"/>
          <w:sz w:val="19"/>
          <w:szCs w:val="19"/>
          <w:lang w:val="en-US"/>
        </w:rPr>
        <w:t>2）专业素养：重在考查考生对学科专业的理解、对学科专业基本知识的掌握情况，利用所学理论发现、分析和解决问题的能力；</w:t>
      </w:r>
    </w:p>
    <w:p>
      <w:pPr>
        <w:pStyle w:val="3"/>
        <w:keepNext w:val="0"/>
        <w:keepLines w:val="0"/>
        <w:widowControl/>
        <w:suppressLineNumbers w:val="0"/>
        <w:spacing w:before="40" w:beforeAutospacing="0" w:after="0" w:afterAutospacing="0" w:line="225" w:lineRule="atLeast"/>
        <w:ind w:left="0" w:right="0" w:firstLine="370"/>
      </w:pPr>
      <w:r>
        <w:rPr>
          <w:rFonts w:hint="eastAsia" w:ascii="仿宋" w:hAnsi="仿宋" w:eastAsia="仿宋" w:cs="仿宋"/>
          <w:color w:val="000000"/>
          <w:sz w:val="19"/>
          <w:szCs w:val="19"/>
          <w:lang w:val="en-US"/>
        </w:rPr>
        <w:t>3）创新学习：重在考查考生科研潜力、创新能力、学习计划等；</w:t>
      </w:r>
    </w:p>
    <w:p>
      <w:pPr>
        <w:pStyle w:val="3"/>
        <w:keepNext w:val="0"/>
        <w:keepLines w:val="0"/>
        <w:widowControl/>
        <w:suppressLineNumbers w:val="0"/>
        <w:spacing w:before="40" w:beforeAutospacing="0" w:after="0" w:afterAutospacing="0" w:line="225" w:lineRule="atLeast"/>
        <w:ind w:left="0" w:right="0" w:firstLine="370"/>
      </w:pPr>
      <w:r>
        <w:rPr>
          <w:rFonts w:hint="eastAsia" w:ascii="仿宋" w:hAnsi="仿宋" w:eastAsia="仿宋" w:cs="仿宋"/>
          <w:color w:val="000000"/>
          <w:sz w:val="19"/>
          <w:szCs w:val="19"/>
          <w:lang w:val="en-US"/>
        </w:rPr>
        <w:t>4）英语水平：重在考查考生英语表达、理解和交流能力等；</w:t>
      </w:r>
    </w:p>
    <w:p>
      <w:pPr>
        <w:pStyle w:val="3"/>
        <w:keepNext w:val="0"/>
        <w:keepLines w:val="0"/>
        <w:widowControl/>
        <w:suppressLineNumbers w:val="0"/>
        <w:spacing w:before="100" w:beforeAutospacing="0" w:after="0" w:afterAutospacing="0"/>
        <w:ind w:left="0" w:right="0" w:firstLine="370"/>
        <w:jc w:val="both"/>
      </w:pPr>
      <w:r>
        <w:rPr>
          <w:rFonts w:hint="eastAsia" w:ascii="仿宋" w:hAnsi="仿宋" w:eastAsia="仿宋" w:cs="仿宋"/>
          <w:color w:val="000000"/>
          <w:sz w:val="19"/>
          <w:szCs w:val="19"/>
          <w:lang w:val="en-US"/>
        </w:rPr>
        <w:t>5</w:t>
      </w:r>
      <w:r>
        <w:rPr>
          <w:rFonts w:hint="eastAsia" w:ascii="仿宋" w:hAnsi="仿宋" w:eastAsia="仿宋" w:cs="仿宋"/>
          <w:color w:val="000000"/>
          <w:sz w:val="19"/>
          <w:szCs w:val="19"/>
        </w:rPr>
        <w:t>）实践技能：重在考查学生专业领域内的实践技能，考生可展示本科学习期间能够体现个人技能的作品等。</w:t>
      </w:r>
    </w:p>
    <w:p>
      <w:pPr>
        <w:pStyle w:val="3"/>
        <w:keepNext w:val="0"/>
        <w:keepLines w:val="0"/>
        <w:widowControl/>
        <w:suppressLineNumbers w:val="0"/>
        <w:spacing w:before="100" w:beforeAutospacing="0" w:after="0" w:afterAutospacing="0"/>
        <w:ind w:left="0" w:right="0" w:firstLine="370"/>
        <w:jc w:val="both"/>
      </w:pPr>
    </w:p>
    <w:tbl>
      <w:tblPr>
        <w:tblW w:w="8475" w:type="dxa"/>
        <w:jc w:val="center"/>
        <w:tblBorders>
          <w:top w:val="single" w:color="ECEDF1" w:sz="4" w:space="0"/>
          <w:left w:val="single" w:color="ECEDF1" w:sz="4" w:space="0"/>
          <w:bottom w:val="single" w:color="ECEDF1" w:sz="4" w:space="0"/>
          <w:right w:val="single" w:color="ECEDF1" w:sz="4" w:space="0"/>
          <w:insideH w:val="none" w:color="auto" w:sz="0" w:space="0"/>
          <w:insideV w:val="none" w:color="auto" w:sz="0" w:space="0"/>
        </w:tblBorders>
        <w:shd w:val="clear" w:color="auto" w:fill="FAFBFD"/>
        <w:tblLayout w:type="autofit"/>
        <w:tblCellMar>
          <w:top w:w="0" w:type="dxa"/>
          <w:left w:w="0" w:type="dxa"/>
          <w:bottom w:w="0" w:type="dxa"/>
          <w:right w:w="0" w:type="dxa"/>
        </w:tblCellMar>
      </w:tblPr>
      <w:tblGrid>
        <w:gridCol w:w="2445"/>
        <w:gridCol w:w="1181"/>
        <w:gridCol w:w="1306"/>
        <w:gridCol w:w="1042"/>
        <w:gridCol w:w="1320"/>
        <w:gridCol w:w="1181"/>
      </w:tblGrid>
      <w:tr>
        <w:tblPrEx>
          <w:tblBorders>
            <w:top w:val="single" w:color="ECEDF1" w:sz="4" w:space="0"/>
            <w:left w:val="single" w:color="ECEDF1" w:sz="4" w:space="0"/>
            <w:bottom w:val="single" w:color="ECEDF1" w:sz="4" w:space="0"/>
            <w:right w:val="single" w:color="ECEDF1" w:sz="4" w:space="0"/>
            <w:insideH w:val="none" w:color="auto" w:sz="0" w:space="0"/>
            <w:insideV w:val="none" w:color="auto" w:sz="0" w:space="0"/>
          </w:tblBorders>
          <w:shd w:val="clear" w:color="auto" w:fill="FAFBFD"/>
          <w:tblCellMar>
            <w:top w:w="0" w:type="dxa"/>
            <w:left w:w="0" w:type="dxa"/>
            <w:bottom w:w="0" w:type="dxa"/>
            <w:right w:w="0" w:type="dxa"/>
          </w:tblCellMar>
        </w:tblPrEx>
        <w:trPr>
          <w:trHeight w:val="400" w:hRule="atLeast"/>
          <w:jc w:val="center"/>
        </w:trPr>
        <w:tc>
          <w:tcPr>
            <w:tcW w:w="1760" w:type="dxa"/>
            <w:tcBorders>
              <w:top w:val="single" w:color="000000" w:sz="4" w:space="0"/>
              <w:left w:val="single" w:color="000000" w:sz="4" w:space="0"/>
              <w:bottom w:val="single" w:color="000000" w:sz="4" w:space="0"/>
              <w:right w:val="single" w:color="000000" w:sz="4" w:space="0"/>
            </w:tcBorders>
            <w:shd w:val="clear" w:color="auto" w:fill="FAFBFD"/>
            <w:vAlign w:val="top"/>
          </w:tcPr>
          <w:p>
            <w:pPr>
              <w:pStyle w:val="3"/>
              <w:keepNext w:val="0"/>
              <w:keepLines w:val="0"/>
              <w:widowControl/>
              <w:suppressLineNumbers w:val="0"/>
              <w:spacing w:before="100" w:beforeAutospacing="0" w:after="100" w:afterAutospacing="0" w:line="225" w:lineRule="atLeast"/>
              <w:ind w:left="0" w:right="0"/>
              <w:jc w:val="center"/>
            </w:pPr>
            <w:r>
              <w:rPr>
                <w:rStyle w:val="6"/>
                <w:rFonts w:hint="eastAsia" w:ascii="仿宋" w:hAnsi="仿宋" w:eastAsia="仿宋" w:cs="仿宋"/>
                <w:b/>
                <w:bCs/>
                <w:sz w:val="19"/>
                <w:szCs w:val="19"/>
              </w:rPr>
              <w:t>专业代码名称</w:t>
            </w:r>
          </w:p>
        </w:tc>
        <w:tc>
          <w:tcPr>
            <w:tcW w:w="850" w:type="dxa"/>
            <w:tcBorders>
              <w:top w:val="single" w:color="000000" w:sz="4" w:space="0"/>
              <w:left w:val="nil"/>
              <w:bottom w:val="single" w:color="000000" w:sz="4" w:space="0"/>
              <w:right w:val="single" w:color="000000" w:sz="4" w:space="0"/>
            </w:tcBorders>
            <w:shd w:val="clear" w:color="auto" w:fill="FAFBFD"/>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pPr>
            <w:r>
              <w:rPr>
                <w:rStyle w:val="6"/>
                <w:rFonts w:hint="eastAsia" w:ascii="仿宋" w:hAnsi="仿宋" w:eastAsia="仿宋" w:cs="仿宋"/>
                <w:b/>
                <w:bCs/>
                <w:sz w:val="19"/>
                <w:szCs w:val="19"/>
              </w:rPr>
              <w:t>综合素质</w:t>
            </w:r>
          </w:p>
        </w:tc>
        <w:tc>
          <w:tcPr>
            <w:tcW w:w="940" w:type="dxa"/>
            <w:tcBorders>
              <w:top w:val="single" w:color="000000" w:sz="4" w:space="0"/>
              <w:left w:val="nil"/>
              <w:bottom w:val="single" w:color="000000" w:sz="4" w:space="0"/>
              <w:right w:val="single" w:color="000000" w:sz="4" w:space="0"/>
            </w:tcBorders>
            <w:shd w:val="clear" w:color="auto" w:fill="FAFBFD"/>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pPr>
            <w:r>
              <w:rPr>
                <w:rStyle w:val="6"/>
                <w:rFonts w:hint="eastAsia" w:ascii="仿宋" w:hAnsi="仿宋" w:eastAsia="仿宋" w:cs="仿宋"/>
                <w:b/>
                <w:bCs/>
                <w:sz w:val="19"/>
                <w:szCs w:val="19"/>
              </w:rPr>
              <w:t>专业素养</w:t>
            </w:r>
          </w:p>
        </w:tc>
        <w:tc>
          <w:tcPr>
            <w:tcW w:w="750" w:type="dxa"/>
            <w:tcBorders>
              <w:top w:val="single" w:color="000000" w:sz="4" w:space="0"/>
              <w:left w:val="nil"/>
              <w:bottom w:val="single" w:color="000000" w:sz="4" w:space="0"/>
              <w:right w:val="single" w:color="000000" w:sz="4" w:space="0"/>
            </w:tcBorders>
            <w:shd w:val="clear" w:color="auto" w:fill="FAFBFD"/>
            <w:vAlign w:val="center"/>
          </w:tcPr>
          <w:p>
            <w:pPr>
              <w:pStyle w:val="3"/>
              <w:keepNext w:val="0"/>
              <w:keepLines w:val="0"/>
              <w:widowControl/>
              <w:suppressLineNumbers w:val="0"/>
              <w:spacing w:before="100" w:beforeAutospacing="0" w:after="100" w:afterAutospacing="0" w:line="225" w:lineRule="atLeast"/>
              <w:ind w:left="0" w:right="0"/>
              <w:jc w:val="center"/>
            </w:pPr>
            <w:r>
              <w:rPr>
                <w:rStyle w:val="6"/>
                <w:rFonts w:hint="eastAsia" w:ascii="仿宋" w:hAnsi="仿宋" w:eastAsia="仿宋" w:cs="仿宋"/>
                <w:b/>
                <w:bCs/>
                <w:sz w:val="19"/>
                <w:szCs w:val="19"/>
              </w:rPr>
              <w:t>创新学习</w:t>
            </w:r>
          </w:p>
        </w:tc>
        <w:tc>
          <w:tcPr>
            <w:tcW w:w="950" w:type="dxa"/>
            <w:tcBorders>
              <w:top w:val="single" w:color="000000" w:sz="4" w:space="0"/>
              <w:left w:val="nil"/>
              <w:bottom w:val="single" w:color="000000" w:sz="4" w:space="0"/>
              <w:right w:val="single" w:color="000000" w:sz="4" w:space="0"/>
            </w:tcBorders>
            <w:shd w:val="clear" w:color="auto" w:fill="FAFBFD"/>
            <w:vAlign w:val="center"/>
          </w:tcPr>
          <w:p>
            <w:pPr>
              <w:pStyle w:val="3"/>
              <w:keepNext w:val="0"/>
              <w:keepLines w:val="0"/>
              <w:widowControl/>
              <w:suppressLineNumbers w:val="0"/>
              <w:spacing w:before="100" w:beforeAutospacing="0" w:after="100" w:afterAutospacing="0" w:line="225" w:lineRule="atLeast"/>
              <w:ind w:left="0" w:right="0"/>
              <w:jc w:val="center"/>
            </w:pPr>
            <w:r>
              <w:rPr>
                <w:rStyle w:val="6"/>
                <w:rFonts w:hint="eastAsia" w:ascii="仿宋" w:hAnsi="仿宋" w:eastAsia="仿宋" w:cs="仿宋"/>
                <w:b/>
                <w:bCs/>
                <w:sz w:val="19"/>
                <w:szCs w:val="19"/>
              </w:rPr>
              <w:t>英语水平</w:t>
            </w:r>
          </w:p>
        </w:tc>
        <w:tc>
          <w:tcPr>
            <w:tcW w:w="850" w:type="dxa"/>
            <w:tcBorders>
              <w:top w:val="single" w:color="000000" w:sz="4" w:space="0"/>
              <w:left w:val="nil"/>
              <w:bottom w:val="single" w:color="000000" w:sz="4" w:space="0"/>
              <w:right w:val="single" w:color="000000" w:sz="4" w:space="0"/>
            </w:tcBorders>
            <w:shd w:val="clear" w:color="auto" w:fill="FAFBFD"/>
            <w:vAlign w:val="center"/>
          </w:tcPr>
          <w:p>
            <w:pPr>
              <w:pStyle w:val="3"/>
              <w:keepNext w:val="0"/>
              <w:keepLines w:val="0"/>
              <w:widowControl/>
              <w:suppressLineNumbers w:val="0"/>
              <w:spacing w:before="100" w:beforeAutospacing="0" w:after="100" w:afterAutospacing="0" w:line="225" w:lineRule="atLeast"/>
              <w:ind w:left="0" w:right="0"/>
              <w:jc w:val="center"/>
            </w:pPr>
            <w:r>
              <w:rPr>
                <w:rStyle w:val="6"/>
                <w:rFonts w:hint="eastAsia" w:ascii="仿宋" w:hAnsi="仿宋" w:eastAsia="仿宋" w:cs="仿宋"/>
                <w:b/>
                <w:bCs/>
                <w:sz w:val="19"/>
                <w:szCs w:val="19"/>
              </w:rPr>
              <w:t>实践技能</w:t>
            </w:r>
          </w:p>
        </w:tc>
      </w:tr>
      <w:tr>
        <w:tblPrEx>
          <w:tblBorders>
            <w:top w:val="single" w:color="ECEDF1" w:sz="4" w:space="0"/>
            <w:left w:val="single" w:color="ECEDF1" w:sz="4" w:space="0"/>
            <w:bottom w:val="single" w:color="ECEDF1" w:sz="4" w:space="0"/>
            <w:right w:val="single" w:color="ECEDF1" w:sz="4" w:space="0"/>
            <w:insideH w:val="none" w:color="auto" w:sz="0" w:space="0"/>
            <w:insideV w:val="none" w:color="auto" w:sz="0" w:space="0"/>
          </w:tblBorders>
          <w:tblCellMar>
            <w:top w:w="0" w:type="dxa"/>
            <w:left w:w="0" w:type="dxa"/>
            <w:bottom w:w="0" w:type="dxa"/>
            <w:right w:w="0" w:type="dxa"/>
          </w:tblCellMar>
        </w:tblPrEx>
        <w:trPr>
          <w:trHeight w:val="400" w:hRule="atLeast"/>
          <w:jc w:val="center"/>
        </w:trPr>
        <w:tc>
          <w:tcPr>
            <w:tcW w:w="1760" w:type="dxa"/>
            <w:tcBorders>
              <w:top w:val="nil"/>
              <w:left w:val="single" w:color="000000" w:sz="4" w:space="0"/>
              <w:bottom w:val="single" w:color="000000" w:sz="4" w:space="0"/>
              <w:right w:val="single" w:color="000000" w:sz="4" w:space="0"/>
            </w:tcBorders>
            <w:shd w:val="clear" w:color="auto" w:fill="FAFBFD"/>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lang w:val="en-US"/>
              </w:rPr>
              <w:t>(070500)</w:t>
            </w:r>
          </w:p>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地理学</w:t>
            </w:r>
          </w:p>
        </w:tc>
        <w:tc>
          <w:tcPr>
            <w:tcW w:w="850" w:type="dxa"/>
            <w:tcBorders>
              <w:top w:val="nil"/>
              <w:left w:val="nil"/>
              <w:bottom w:val="single" w:color="000000" w:sz="4" w:space="0"/>
              <w:right w:val="single" w:color="000000" w:sz="4" w:space="0"/>
            </w:tcBorders>
            <w:shd w:val="clear" w:color="auto" w:fill="FAFBFD"/>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pPr>
            <w:r>
              <w:rPr>
                <w:rFonts w:hint="eastAsia" w:ascii="仿宋" w:hAnsi="仿宋" w:eastAsia="仿宋" w:cs="仿宋"/>
                <w:sz w:val="19"/>
                <w:szCs w:val="19"/>
                <w:lang w:val="en-US"/>
              </w:rPr>
              <w:t>40</w:t>
            </w:r>
          </w:p>
        </w:tc>
        <w:tc>
          <w:tcPr>
            <w:tcW w:w="940" w:type="dxa"/>
            <w:tcBorders>
              <w:top w:val="nil"/>
              <w:left w:val="nil"/>
              <w:bottom w:val="single" w:color="000000" w:sz="4" w:space="0"/>
              <w:right w:val="single" w:color="000000" w:sz="4" w:space="0"/>
            </w:tcBorders>
            <w:shd w:val="clear" w:color="auto" w:fill="FAFBFD"/>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pPr>
            <w:r>
              <w:rPr>
                <w:rFonts w:hint="eastAsia" w:ascii="仿宋" w:hAnsi="仿宋" w:eastAsia="仿宋" w:cs="仿宋"/>
                <w:sz w:val="19"/>
                <w:szCs w:val="19"/>
                <w:lang w:val="en-US"/>
              </w:rPr>
              <w:t>70</w:t>
            </w:r>
          </w:p>
        </w:tc>
        <w:tc>
          <w:tcPr>
            <w:tcW w:w="750" w:type="dxa"/>
            <w:tcBorders>
              <w:top w:val="nil"/>
              <w:left w:val="nil"/>
              <w:bottom w:val="single" w:color="000000" w:sz="4" w:space="0"/>
              <w:right w:val="single" w:color="000000" w:sz="4" w:space="0"/>
            </w:tcBorders>
            <w:shd w:val="clear" w:color="auto" w:fill="FAFBFD"/>
            <w:vAlign w:val="center"/>
          </w:tcPr>
          <w:p>
            <w:pPr>
              <w:pStyle w:val="3"/>
              <w:keepNext w:val="0"/>
              <w:keepLines w:val="0"/>
              <w:widowControl/>
              <w:suppressLineNumbers w:val="0"/>
              <w:spacing w:before="100" w:beforeAutospacing="0" w:after="100" w:afterAutospacing="0" w:line="225" w:lineRule="atLeast"/>
              <w:ind w:left="0" w:right="0"/>
              <w:jc w:val="center"/>
            </w:pPr>
            <w:r>
              <w:rPr>
                <w:rFonts w:hint="eastAsia" w:ascii="仿宋" w:hAnsi="仿宋" w:eastAsia="仿宋" w:cs="仿宋"/>
                <w:sz w:val="19"/>
                <w:szCs w:val="19"/>
                <w:lang w:val="en-US"/>
              </w:rPr>
              <w:t>40</w:t>
            </w:r>
          </w:p>
        </w:tc>
        <w:tc>
          <w:tcPr>
            <w:tcW w:w="950" w:type="dxa"/>
            <w:tcBorders>
              <w:top w:val="nil"/>
              <w:left w:val="nil"/>
              <w:bottom w:val="single" w:color="000000" w:sz="4" w:space="0"/>
              <w:right w:val="single" w:color="000000" w:sz="4" w:space="0"/>
            </w:tcBorders>
            <w:shd w:val="clear" w:color="auto" w:fill="FAFBFD"/>
            <w:vAlign w:val="center"/>
          </w:tcPr>
          <w:p>
            <w:pPr>
              <w:pStyle w:val="3"/>
              <w:keepNext w:val="0"/>
              <w:keepLines w:val="0"/>
              <w:widowControl/>
              <w:suppressLineNumbers w:val="0"/>
              <w:spacing w:before="100" w:beforeAutospacing="0" w:after="100" w:afterAutospacing="0" w:line="225" w:lineRule="atLeast"/>
              <w:ind w:left="0" w:right="0"/>
              <w:jc w:val="center"/>
            </w:pPr>
            <w:r>
              <w:rPr>
                <w:rFonts w:hint="eastAsia" w:ascii="仿宋" w:hAnsi="仿宋" w:eastAsia="仿宋" w:cs="仿宋"/>
                <w:sz w:val="19"/>
                <w:szCs w:val="19"/>
                <w:lang w:val="en-US"/>
              </w:rPr>
              <w:t>50</w:t>
            </w:r>
          </w:p>
        </w:tc>
        <w:tc>
          <w:tcPr>
            <w:tcW w:w="850" w:type="dxa"/>
            <w:tcBorders>
              <w:top w:val="nil"/>
              <w:left w:val="nil"/>
              <w:bottom w:val="single" w:color="000000" w:sz="4" w:space="0"/>
              <w:right w:val="single" w:color="000000" w:sz="4" w:space="0"/>
            </w:tcBorders>
            <w:shd w:val="clear" w:color="auto" w:fill="FAFBFD"/>
            <w:vAlign w:val="center"/>
          </w:tcPr>
          <w:p>
            <w:pPr>
              <w:keepNext w:val="0"/>
              <w:keepLines w:val="0"/>
              <w:widowControl/>
              <w:suppressLineNumbers w:val="0"/>
              <w:jc w:val="center"/>
            </w:pPr>
          </w:p>
        </w:tc>
      </w:tr>
      <w:tr>
        <w:tblPrEx>
          <w:tblBorders>
            <w:top w:val="single" w:color="ECEDF1" w:sz="4" w:space="0"/>
            <w:left w:val="single" w:color="ECEDF1" w:sz="4" w:space="0"/>
            <w:bottom w:val="single" w:color="ECEDF1" w:sz="4" w:space="0"/>
            <w:right w:val="single" w:color="ECEDF1" w:sz="4" w:space="0"/>
            <w:insideH w:val="none" w:color="auto" w:sz="0" w:space="0"/>
            <w:insideV w:val="none" w:color="auto" w:sz="0" w:space="0"/>
          </w:tblBorders>
          <w:shd w:val="clear" w:color="auto" w:fill="FAFBFD"/>
          <w:tblCellMar>
            <w:top w:w="0" w:type="dxa"/>
            <w:left w:w="0" w:type="dxa"/>
            <w:bottom w:w="0" w:type="dxa"/>
            <w:right w:w="0" w:type="dxa"/>
          </w:tblCellMar>
        </w:tblPrEx>
        <w:trPr>
          <w:trHeight w:val="400" w:hRule="atLeast"/>
          <w:jc w:val="center"/>
        </w:trPr>
        <w:tc>
          <w:tcPr>
            <w:tcW w:w="1760" w:type="dxa"/>
            <w:tcBorders>
              <w:top w:val="nil"/>
              <w:left w:val="single" w:color="000000" w:sz="4" w:space="0"/>
              <w:bottom w:val="single" w:color="000000" w:sz="4" w:space="0"/>
              <w:right w:val="single" w:color="000000" w:sz="4" w:space="0"/>
            </w:tcBorders>
            <w:shd w:val="clear" w:color="auto" w:fill="FAFBFD"/>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lang w:val="en-US"/>
              </w:rPr>
              <w:t>(081600)</w:t>
            </w:r>
          </w:p>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测绘科学与技术</w:t>
            </w:r>
          </w:p>
        </w:tc>
        <w:tc>
          <w:tcPr>
            <w:tcW w:w="850" w:type="dxa"/>
            <w:tcBorders>
              <w:top w:val="nil"/>
              <w:left w:val="nil"/>
              <w:bottom w:val="single" w:color="000000" w:sz="4" w:space="0"/>
              <w:right w:val="single" w:color="000000" w:sz="4" w:space="0"/>
            </w:tcBorders>
            <w:shd w:val="clear" w:color="auto" w:fill="FAFBFD"/>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pPr>
            <w:r>
              <w:rPr>
                <w:rFonts w:hint="eastAsia" w:ascii="仿宋" w:hAnsi="仿宋" w:eastAsia="仿宋" w:cs="仿宋"/>
                <w:sz w:val="19"/>
                <w:szCs w:val="19"/>
                <w:lang w:val="en-US"/>
              </w:rPr>
              <w:t>40</w:t>
            </w:r>
          </w:p>
        </w:tc>
        <w:tc>
          <w:tcPr>
            <w:tcW w:w="940" w:type="dxa"/>
            <w:tcBorders>
              <w:top w:val="nil"/>
              <w:left w:val="nil"/>
              <w:bottom w:val="single" w:color="000000" w:sz="4" w:space="0"/>
              <w:right w:val="single" w:color="000000" w:sz="4" w:space="0"/>
            </w:tcBorders>
            <w:shd w:val="clear" w:color="auto" w:fill="FAFBFD"/>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pPr>
            <w:r>
              <w:rPr>
                <w:rFonts w:hint="eastAsia" w:ascii="仿宋" w:hAnsi="仿宋" w:eastAsia="仿宋" w:cs="仿宋"/>
                <w:sz w:val="19"/>
                <w:szCs w:val="19"/>
                <w:lang w:val="en-US"/>
              </w:rPr>
              <w:t>40</w:t>
            </w:r>
          </w:p>
        </w:tc>
        <w:tc>
          <w:tcPr>
            <w:tcW w:w="750" w:type="dxa"/>
            <w:tcBorders>
              <w:top w:val="nil"/>
              <w:left w:val="nil"/>
              <w:bottom w:val="single" w:color="000000" w:sz="4" w:space="0"/>
              <w:right w:val="single" w:color="000000" w:sz="4" w:space="0"/>
            </w:tcBorders>
            <w:shd w:val="clear" w:color="auto" w:fill="FAFBFD"/>
            <w:vAlign w:val="center"/>
          </w:tcPr>
          <w:p>
            <w:pPr>
              <w:pStyle w:val="3"/>
              <w:keepNext w:val="0"/>
              <w:keepLines w:val="0"/>
              <w:widowControl/>
              <w:suppressLineNumbers w:val="0"/>
              <w:spacing w:before="100" w:beforeAutospacing="0" w:after="100" w:afterAutospacing="0" w:line="225" w:lineRule="atLeast"/>
              <w:ind w:left="0" w:right="0"/>
              <w:jc w:val="center"/>
            </w:pPr>
            <w:r>
              <w:rPr>
                <w:rFonts w:hint="eastAsia" w:ascii="仿宋" w:hAnsi="仿宋" w:eastAsia="仿宋" w:cs="仿宋"/>
                <w:sz w:val="19"/>
                <w:szCs w:val="19"/>
                <w:lang w:val="en-US"/>
              </w:rPr>
              <w:t>40</w:t>
            </w:r>
          </w:p>
        </w:tc>
        <w:tc>
          <w:tcPr>
            <w:tcW w:w="950" w:type="dxa"/>
            <w:tcBorders>
              <w:top w:val="nil"/>
              <w:left w:val="nil"/>
              <w:bottom w:val="single" w:color="000000" w:sz="4" w:space="0"/>
              <w:right w:val="single" w:color="000000" w:sz="4" w:space="0"/>
            </w:tcBorders>
            <w:shd w:val="clear" w:color="auto" w:fill="FAFBFD"/>
            <w:vAlign w:val="center"/>
          </w:tcPr>
          <w:p>
            <w:pPr>
              <w:pStyle w:val="3"/>
              <w:keepNext w:val="0"/>
              <w:keepLines w:val="0"/>
              <w:widowControl/>
              <w:suppressLineNumbers w:val="0"/>
              <w:spacing w:before="100" w:beforeAutospacing="0" w:after="100" w:afterAutospacing="0" w:line="225" w:lineRule="atLeast"/>
              <w:ind w:left="0" w:right="0"/>
              <w:jc w:val="center"/>
            </w:pPr>
            <w:r>
              <w:rPr>
                <w:rFonts w:hint="eastAsia" w:ascii="仿宋" w:hAnsi="仿宋" w:eastAsia="仿宋" w:cs="仿宋"/>
                <w:sz w:val="19"/>
                <w:szCs w:val="19"/>
                <w:lang w:val="en-US"/>
              </w:rPr>
              <w:t>40</w:t>
            </w:r>
          </w:p>
        </w:tc>
        <w:tc>
          <w:tcPr>
            <w:tcW w:w="850" w:type="dxa"/>
            <w:tcBorders>
              <w:top w:val="nil"/>
              <w:left w:val="nil"/>
              <w:bottom w:val="single" w:color="000000" w:sz="4" w:space="0"/>
              <w:right w:val="single" w:color="000000" w:sz="4" w:space="0"/>
            </w:tcBorders>
            <w:shd w:val="clear" w:color="auto" w:fill="FAFBFD"/>
            <w:vAlign w:val="center"/>
          </w:tcPr>
          <w:p>
            <w:pPr>
              <w:pStyle w:val="3"/>
              <w:keepNext w:val="0"/>
              <w:keepLines w:val="0"/>
              <w:widowControl/>
              <w:suppressLineNumbers w:val="0"/>
              <w:spacing w:before="100" w:beforeAutospacing="0" w:after="100" w:afterAutospacing="0" w:line="225" w:lineRule="atLeast"/>
              <w:ind w:left="0" w:right="0"/>
              <w:jc w:val="center"/>
            </w:pPr>
            <w:r>
              <w:rPr>
                <w:rFonts w:hint="eastAsia" w:ascii="仿宋" w:hAnsi="仿宋" w:eastAsia="仿宋" w:cs="仿宋"/>
                <w:sz w:val="19"/>
                <w:szCs w:val="19"/>
                <w:lang w:val="en-US"/>
              </w:rPr>
              <w:t>40</w:t>
            </w:r>
          </w:p>
        </w:tc>
      </w:tr>
      <w:tr>
        <w:tblPrEx>
          <w:tblBorders>
            <w:top w:val="single" w:color="ECEDF1" w:sz="4" w:space="0"/>
            <w:left w:val="single" w:color="ECEDF1" w:sz="4" w:space="0"/>
            <w:bottom w:val="single" w:color="ECEDF1" w:sz="4" w:space="0"/>
            <w:right w:val="single" w:color="ECEDF1" w:sz="4" w:space="0"/>
            <w:insideH w:val="none" w:color="auto" w:sz="0" w:space="0"/>
            <w:insideV w:val="none" w:color="auto" w:sz="0" w:space="0"/>
          </w:tblBorders>
          <w:shd w:val="clear" w:color="auto" w:fill="FAFBFD"/>
          <w:tblCellMar>
            <w:top w:w="0" w:type="dxa"/>
            <w:left w:w="0" w:type="dxa"/>
            <w:bottom w:w="0" w:type="dxa"/>
            <w:right w:w="0" w:type="dxa"/>
          </w:tblCellMar>
        </w:tblPrEx>
        <w:trPr>
          <w:trHeight w:val="400" w:hRule="atLeast"/>
          <w:jc w:val="center"/>
        </w:trPr>
        <w:tc>
          <w:tcPr>
            <w:tcW w:w="1760" w:type="dxa"/>
            <w:tcBorders>
              <w:top w:val="nil"/>
              <w:left w:val="single" w:color="000000" w:sz="4" w:space="0"/>
              <w:bottom w:val="single" w:color="000000" w:sz="4" w:space="0"/>
              <w:right w:val="single" w:color="000000" w:sz="4" w:space="0"/>
            </w:tcBorders>
            <w:shd w:val="clear" w:color="auto" w:fill="FAFBFD"/>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lang w:val="en-US"/>
              </w:rPr>
              <w:t>(085400)</w:t>
            </w:r>
          </w:p>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电子信息</w:t>
            </w:r>
          </w:p>
        </w:tc>
        <w:tc>
          <w:tcPr>
            <w:tcW w:w="850" w:type="dxa"/>
            <w:tcBorders>
              <w:top w:val="nil"/>
              <w:left w:val="nil"/>
              <w:bottom w:val="single" w:color="000000" w:sz="4" w:space="0"/>
              <w:right w:val="single" w:color="000000" w:sz="4" w:space="0"/>
            </w:tcBorders>
            <w:shd w:val="clear" w:color="auto" w:fill="FAFBFD"/>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pPr>
            <w:r>
              <w:rPr>
                <w:rFonts w:hint="eastAsia" w:ascii="仿宋" w:hAnsi="仿宋" w:eastAsia="仿宋" w:cs="仿宋"/>
                <w:sz w:val="19"/>
                <w:szCs w:val="19"/>
                <w:lang w:val="en-US"/>
              </w:rPr>
              <w:t>40</w:t>
            </w:r>
          </w:p>
        </w:tc>
        <w:tc>
          <w:tcPr>
            <w:tcW w:w="940" w:type="dxa"/>
            <w:tcBorders>
              <w:top w:val="nil"/>
              <w:left w:val="nil"/>
              <w:bottom w:val="single" w:color="000000" w:sz="4" w:space="0"/>
              <w:right w:val="single" w:color="000000" w:sz="4" w:space="0"/>
            </w:tcBorders>
            <w:shd w:val="clear" w:color="auto" w:fill="FAFBFD"/>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pPr>
            <w:r>
              <w:rPr>
                <w:rFonts w:hint="eastAsia" w:ascii="仿宋" w:hAnsi="仿宋" w:eastAsia="仿宋" w:cs="仿宋"/>
                <w:sz w:val="19"/>
                <w:szCs w:val="19"/>
                <w:lang w:val="en-US"/>
              </w:rPr>
              <w:t>40</w:t>
            </w:r>
          </w:p>
        </w:tc>
        <w:tc>
          <w:tcPr>
            <w:tcW w:w="750" w:type="dxa"/>
            <w:tcBorders>
              <w:top w:val="nil"/>
              <w:left w:val="nil"/>
              <w:bottom w:val="single" w:color="000000" w:sz="4" w:space="0"/>
              <w:right w:val="single" w:color="000000" w:sz="4" w:space="0"/>
            </w:tcBorders>
            <w:shd w:val="clear" w:color="auto" w:fill="FAFBFD"/>
            <w:vAlign w:val="center"/>
          </w:tcPr>
          <w:p>
            <w:pPr>
              <w:pStyle w:val="3"/>
              <w:keepNext w:val="0"/>
              <w:keepLines w:val="0"/>
              <w:widowControl/>
              <w:suppressLineNumbers w:val="0"/>
              <w:spacing w:before="100" w:beforeAutospacing="0" w:after="100" w:afterAutospacing="0" w:line="225" w:lineRule="atLeast"/>
              <w:ind w:left="0" w:right="0"/>
              <w:jc w:val="center"/>
            </w:pPr>
            <w:r>
              <w:rPr>
                <w:rFonts w:hint="eastAsia" w:ascii="仿宋" w:hAnsi="仿宋" w:eastAsia="仿宋" w:cs="仿宋"/>
                <w:sz w:val="19"/>
                <w:szCs w:val="19"/>
                <w:lang w:val="en-US"/>
              </w:rPr>
              <w:t>40</w:t>
            </w:r>
          </w:p>
        </w:tc>
        <w:tc>
          <w:tcPr>
            <w:tcW w:w="950" w:type="dxa"/>
            <w:tcBorders>
              <w:top w:val="nil"/>
              <w:left w:val="nil"/>
              <w:bottom w:val="single" w:color="000000" w:sz="4" w:space="0"/>
              <w:right w:val="single" w:color="000000" w:sz="4" w:space="0"/>
            </w:tcBorders>
            <w:shd w:val="clear" w:color="auto" w:fill="FAFBFD"/>
            <w:vAlign w:val="center"/>
          </w:tcPr>
          <w:p>
            <w:pPr>
              <w:pStyle w:val="3"/>
              <w:keepNext w:val="0"/>
              <w:keepLines w:val="0"/>
              <w:widowControl/>
              <w:suppressLineNumbers w:val="0"/>
              <w:spacing w:before="100" w:beforeAutospacing="0" w:after="100" w:afterAutospacing="0" w:line="225" w:lineRule="atLeast"/>
              <w:ind w:left="0" w:right="0"/>
              <w:jc w:val="center"/>
            </w:pPr>
            <w:r>
              <w:rPr>
                <w:rFonts w:hint="eastAsia" w:ascii="仿宋" w:hAnsi="仿宋" w:eastAsia="仿宋" w:cs="仿宋"/>
                <w:sz w:val="19"/>
                <w:szCs w:val="19"/>
                <w:lang w:val="en-US"/>
              </w:rPr>
              <w:t>40</w:t>
            </w:r>
          </w:p>
        </w:tc>
        <w:tc>
          <w:tcPr>
            <w:tcW w:w="850" w:type="dxa"/>
            <w:tcBorders>
              <w:top w:val="nil"/>
              <w:left w:val="nil"/>
              <w:bottom w:val="single" w:color="000000" w:sz="4" w:space="0"/>
              <w:right w:val="single" w:color="000000" w:sz="4" w:space="0"/>
            </w:tcBorders>
            <w:shd w:val="clear" w:color="auto" w:fill="FAFBFD"/>
            <w:vAlign w:val="center"/>
          </w:tcPr>
          <w:p>
            <w:pPr>
              <w:pStyle w:val="3"/>
              <w:keepNext w:val="0"/>
              <w:keepLines w:val="0"/>
              <w:widowControl/>
              <w:suppressLineNumbers w:val="0"/>
              <w:spacing w:before="100" w:beforeAutospacing="0" w:after="100" w:afterAutospacing="0" w:line="225" w:lineRule="atLeast"/>
              <w:ind w:left="0" w:right="0"/>
              <w:jc w:val="center"/>
            </w:pPr>
            <w:r>
              <w:rPr>
                <w:rFonts w:hint="eastAsia" w:ascii="仿宋" w:hAnsi="仿宋" w:eastAsia="仿宋" w:cs="仿宋"/>
                <w:sz w:val="19"/>
                <w:szCs w:val="19"/>
                <w:lang w:val="en-US"/>
              </w:rPr>
              <w:t>40</w:t>
            </w:r>
          </w:p>
        </w:tc>
      </w:tr>
      <w:tr>
        <w:tblPrEx>
          <w:tblBorders>
            <w:top w:val="single" w:color="ECEDF1" w:sz="4" w:space="0"/>
            <w:left w:val="single" w:color="ECEDF1" w:sz="4" w:space="0"/>
            <w:bottom w:val="single" w:color="ECEDF1" w:sz="4" w:space="0"/>
            <w:right w:val="single" w:color="ECEDF1" w:sz="4" w:space="0"/>
            <w:insideH w:val="none" w:color="auto" w:sz="0" w:space="0"/>
            <w:insideV w:val="none" w:color="auto" w:sz="0" w:space="0"/>
          </w:tblBorders>
          <w:shd w:val="clear" w:color="auto" w:fill="FAFBFD"/>
          <w:tblCellMar>
            <w:top w:w="0" w:type="dxa"/>
            <w:left w:w="0" w:type="dxa"/>
            <w:bottom w:w="0" w:type="dxa"/>
            <w:right w:w="0" w:type="dxa"/>
          </w:tblCellMar>
        </w:tblPrEx>
        <w:trPr>
          <w:trHeight w:val="400" w:hRule="atLeast"/>
          <w:jc w:val="center"/>
        </w:trPr>
        <w:tc>
          <w:tcPr>
            <w:tcW w:w="1760" w:type="dxa"/>
            <w:tcBorders>
              <w:top w:val="nil"/>
              <w:left w:val="single" w:color="000000" w:sz="4" w:space="0"/>
              <w:bottom w:val="single" w:color="000000" w:sz="4" w:space="0"/>
              <w:right w:val="single" w:color="000000" w:sz="4" w:space="0"/>
            </w:tcBorders>
            <w:shd w:val="clear" w:color="auto" w:fill="FAFBFD"/>
            <w:vAlign w:val="center"/>
          </w:tcPr>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lang w:val="en-US"/>
              </w:rPr>
              <w:t>(085700)</w:t>
            </w:r>
          </w:p>
          <w:p>
            <w:pPr>
              <w:pStyle w:val="3"/>
              <w:keepNext w:val="0"/>
              <w:keepLines w:val="0"/>
              <w:widowControl/>
              <w:suppressLineNumbers w:val="0"/>
              <w:spacing w:before="100" w:beforeAutospacing="0" w:after="100" w:afterAutospacing="0" w:line="225" w:lineRule="atLeast"/>
              <w:ind w:left="0" w:right="0"/>
              <w:jc w:val="center"/>
              <w:textAlignment w:val="center"/>
            </w:pPr>
            <w:r>
              <w:rPr>
                <w:rFonts w:hint="eastAsia" w:ascii="仿宋" w:hAnsi="仿宋" w:eastAsia="仿宋" w:cs="仿宋"/>
                <w:color w:val="000000"/>
                <w:sz w:val="19"/>
                <w:szCs w:val="19"/>
              </w:rPr>
              <w:t>资源与环境</w:t>
            </w:r>
          </w:p>
        </w:tc>
        <w:tc>
          <w:tcPr>
            <w:tcW w:w="850" w:type="dxa"/>
            <w:tcBorders>
              <w:top w:val="nil"/>
              <w:left w:val="nil"/>
              <w:bottom w:val="single" w:color="000000" w:sz="4" w:space="0"/>
              <w:right w:val="single" w:color="000000" w:sz="4" w:space="0"/>
            </w:tcBorders>
            <w:shd w:val="clear" w:color="auto" w:fill="FAFBFD"/>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pPr>
            <w:r>
              <w:rPr>
                <w:rFonts w:hint="eastAsia" w:ascii="仿宋" w:hAnsi="仿宋" w:eastAsia="仿宋" w:cs="仿宋"/>
                <w:sz w:val="19"/>
                <w:szCs w:val="19"/>
                <w:lang w:val="en-US"/>
              </w:rPr>
              <w:t>40</w:t>
            </w:r>
          </w:p>
        </w:tc>
        <w:tc>
          <w:tcPr>
            <w:tcW w:w="940" w:type="dxa"/>
            <w:tcBorders>
              <w:top w:val="nil"/>
              <w:left w:val="nil"/>
              <w:bottom w:val="single" w:color="000000" w:sz="4" w:space="0"/>
              <w:right w:val="single" w:color="000000" w:sz="4" w:space="0"/>
            </w:tcBorders>
            <w:shd w:val="clear" w:color="auto" w:fill="FAFBFD"/>
            <w:tcMar>
              <w:top w:w="10" w:type="dxa"/>
              <w:left w:w="10" w:type="dxa"/>
              <w:right w:w="10" w:type="dxa"/>
            </w:tcMar>
            <w:vAlign w:val="center"/>
          </w:tcPr>
          <w:p>
            <w:pPr>
              <w:pStyle w:val="3"/>
              <w:keepNext w:val="0"/>
              <w:keepLines w:val="0"/>
              <w:widowControl/>
              <w:suppressLineNumbers w:val="0"/>
              <w:spacing w:before="100" w:beforeAutospacing="0" w:after="100" w:afterAutospacing="0" w:line="225" w:lineRule="atLeast"/>
              <w:ind w:left="0" w:right="0"/>
              <w:jc w:val="center"/>
            </w:pPr>
            <w:r>
              <w:rPr>
                <w:rFonts w:hint="eastAsia" w:ascii="仿宋" w:hAnsi="仿宋" w:eastAsia="仿宋" w:cs="仿宋"/>
                <w:sz w:val="19"/>
                <w:szCs w:val="19"/>
                <w:lang w:val="en-US"/>
              </w:rPr>
              <w:t>40</w:t>
            </w:r>
          </w:p>
        </w:tc>
        <w:tc>
          <w:tcPr>
            <w:tcW w:w="750" w:type="dxa"/>
            <w:tcBorders>
              <w:top w:val="nil"/>
              <w:left w:val="nil"/>
              <w:bottom w:val="single" w:color="000000" w:sz="4" w:space="0"/>
              <w:right w:val="single" w:color="000000" w:sz="4" w:space="0"/>
            </w:tcBorders>
            <w:shd w:val="clear" w:color="auto" w:fill="FAFBFD"/>
            <w:vAlign w:val="center"/>
          </w:tcPr>
          <w:p>
            <w:pPr>
              <w:pStyle w:val="3"/>
              <w:keepNext w:val="0"/>
              <w:keepLines w:val="0"/>
              <w:widowControl/>
              <w:suppressLineNumbers w:val="0"/>
              <w:spacing w:before="100" w:beforeAutospacing="0" w:after="100" w:afterAutospacing="0" w:line="225" w:lineRule="atLeast"/>
              <w:ind w:left="0" w:right="0"/>
              <w:jc w:val="center"/>
            </w:pPr>
            <w:r>
              <w:rPr>
                <w:rFonts w:hint="eastAsia" w:ascii="仿宋" w:hAnsi="仿宋" w:eastAsia="仿宋" w:cs="仿宋"/>
                <w:sz w:val="19"/>
                <w:szCs w:val="19"/>
                <w:lang w:val="en-US"/>
              </w:rPr>
              <w:t>40</w:t>
            </w:r>
          </w:p>
        </w:tc>
        <w:tc>
          <w:tcPr>
            <w:tcW w:w="950" w:type="dxa"/>
            <w:tcBorders>
              <w:top w:val="nil"/>
              <w:left w:val="nil"/>
              <w:bottom w:val="single" w:color="000000" w:sz="4" w:space="0"/>
              <w:right w:val="single" w:color="000000" w:sz="4" w:space="0"/>
            </w:tcBorders>
            <w:shd w:val="clear" w:color="auto" w:fill="FAFBFD"/>
            <w:vAlign w:val="center"/>
          </w:tcPr>
          <w:p>
            <w:pPr>
              <w:pStyle w:val="3"/>
              <w:keepNext w:val="0"/>
              <w:keepLines w:val="0"/>
              <w:widowControl/>
              <w:suppressLineNumbers w:val="0"/>
              <w:spacing w:before="100" w:beforeAutospacing="0" w:after="100" w:afterAutospacing="0" w:line="225" w:lineRule="atLeast"/>
              <w:ind w:left="0" w:right="0"/>
              <w:jc w:val="center"/>
            </w:pPr>
            <w:r>
              <w:rPr>
                <w:rFonts w:hint="eastAsia" w:ascii="仿宋" w:hAnsi="仿宋" w:eastAsia="仿宋" w:cs="仿宋"/>
                <w:sz w:val="19"/>
                <w:szCs w:val="19"/>
                <w:lang w:val="en-US"/>
              </w:rPr>
              <w:t>40</w:t>
            </w:r>
          </w:p>
        </w:tc>
        <w:tc>
          <w:tcPr>
            <w:tcW w:w="850" w:type="dxa"/>
            <w:tcBorders>
              <w:top w:val="nil"/>
              <w:left w:val="nil"/>
              <w:bottom w:val="single" w:color="000000" w:sz="4" w:space="0"/>
              <w:right w:val="single" w:color="000000" w:sz="4" w:space="0"/>
            </w:tcBorders>
            <w:shd w:val="clear" w:color="auto" w:fill="FAFBFD"/>
            <w:vAlign w:val="center"/>
          </w:tcPr>
          <w:p>
            <w:pPr>
              <w:pStyle w:val="3"/>
              <w:keepNext w:val="0"/>
              <w:keepLines w:val="0"/>
              <w:widowControl/>
              <w:suppressLineNumbers w:val="0"/>
              <w:spacing w:before="100" w:beforeAutospacing="0" w:after="100" w:afterAutospacing="0" w:line="225" w:lineRule="atLeast"/>
              <w:ind w:left="0" w:right="0"/>
              <w:jc w:val="center"/>
            </w:pPr>
            <w:r>
              <w:rPr>
                <w:rFonts w:hint="eastAsia" w:ascii="仿宋" w:hAnsi="仿宋" w:eastAsia="仿宋" w:cs="仿宋"/>
                <w:sz w:val="19"/>
                <w:szCs w:val="19"/>
                <w:lang w:val="en-US"/>
              </w:rPr>
              <w:t>40</w:t>
            </w:r>
          </w:p>
        </w:tc>
      </w:tr>
    </w:tbl>
    <w:p>
      <w:pPr>
        <w:pStyle w:val="3"/>
        <w:keepNext w:val="0"/>
        <w:keepLines w:val="0"/>
        <w:widowControl/>
        <w:suppressLineNumbers w:val="0"/>
        <w:spacing w:before="100" w:beforeAutospacing="0" w:after="0" w:afterAutospacing="0"/>
        <w:ind w:left="0" w:right="0"/>
        <w:jc w:val="both"/>
      </w:pPr>
    </w:p>
    <w:p>
      <w:pPr>
        <w:pStyle w:val="3"/>
        <w:keepNext w:val="0"/>
        <w:keepLines w:val="0"/>
        <w:widowControl/>
        <w:suppressLineNumbers w:val="0"/>
        <w:spacing w:before="100" w:beforeAutospacing="0" w:after="0" w:afterAutospacing="0"/>
        <w:ind w:left="0" w:right="0" w:firstLine="470"/>
        <w:jc w:val="both"/>
      </w:pPr>
      <w:r>
        <w:rPr>
          <w:rStyle w:val="6"/>
          <w:rFonts w:hint="eastAsia" w:ascii="仿宋" w:hAnsi="仿宋" w:eastAsia="仿宋" w:cs="仿宋"/>
          <w:b/>
          <w:bCs/>
          <w:color w:val="000000"/>
          <w:sz w:val="19"/>
          <w:szCs w:val="19"/>
        </w:rPr>
        <w:t>（四）复试时间地点</w:t>
      </w:r>
    </w:p>
    <w:p>
      <w:pPr>
        <w:pStyle w:val="3"/>
        <w:keepNext w:val="0"/>
        <w:keepLines w:val="0"/>
        <w:widowControl/>
        <w:suppressLineNumbers w:val="0"/>
        <w:spacing w:before="100" w:beforeAutospacing="0" w:after="100" w:afterAutospacing="0" w:line="225" w:lineRule="atLeast"/>
        <w:ind w:left="0" w:right="0" w:firstLine="370"/>
        <w:jc w:val="both"/>
      </w:pPr>
      <w:r>
        <w:rPr>
          <w:rFonts w:hint="eastAsia" w:ascii="仿宋" w:hAnsi="仿宋" w:eastAsia="仿宋" w:cs="仿宋"/>
          <w:sz w:val="19"/>
          <w:szCs w:val="19"/>
        </w:rPr>
        <w:t>笔试、面试均在南望山校区进行，请考生们注意。</w:t>
      </w:r>
    </w:p>
    <w:p>
      <w:pPr>
        <w:pStyle w:val="3"/>
        <w:keepNext w:val="0"/>
        <w:keepLines w:val="0"/>
        <w:widowControl/>
        <w:suppressLineNumbers w:val="0"/>
        <w:spacing w:before="100" w:beforeAutospacing="0" w:after="100" w:afterAutospacing="0" w:line="225" w:lineRule="atLeast"/>
        <w:ind w:left="0" w:right="0" w:firstLine="370"/>
        <w:jc w:val="both"/>
      </w:pPr>
      <w:r>
        <w:rPr>
          <w:rFonts w:hint="eastAsia" w:ascii="仿宋" w:hAnsi="仿宋" w:eastAsia="仿宋" w:cs="仿宋"/>
          <w:sz w:val="19"/>
          <w:szCs w:val="19"/>
        </w:rPr>
        <w:t>笔试、面试视专业和方向于2023年4月10日下午至 2023年4月11日完成，具体安排见学院网站后继通知。</w:t>
      </w:r>
    </w:p>
    <w:p>
      <w:pPr>
        <w:pStyle w:val="3"/>
        <w:keepNext w:val="0"/>
        <w:keepLines w:val="0"/>
        <w:widowControl/>
        <w:suppressLineNumbers w:val="0"/>
        <w:spacing w:before="100" w:beforeAutospacing="0" w:after="0" w:afterAutospacing="0"/>
        <w:ind w:left="0" w:right="0" w:firstLine="470"/>
        <w:jc w:val="both"/>
      </w:pPr>
      <w:r>
        <w:rPr>
          <w:rStyle w:val="6"/>
          <w:rFonts w:hint="eastAsia" w:ascii="仿宋" w:hAnsi="仿宋" w:eastAsia="仿宋" w:cs="仿宋"/>
          <w:b/>
          <w:bCs/>
          <w:color w:val="000000"/>
          <w:sz w:val="19"/>
          <w:szCs w:val="19"/>
        </w:rPr>
        <w:t>（五）复试成绩</w:t>
      </w:r>
    </w:p>
    <w:p>
      <w:pPr>
        <w:pStyle w:val="3"/>
        <w:keepNext w:val="0"/>
        <w:keepLines w:val="0"/>
        <w:widowControl/>
        <w:suppressLineNumbers w:val="0"/>
        <w:spacing w:before="100" w:beforeAutospacing="0" w:after="0" w:afterAutospacing="0"/>
        <w:ind w:left="0" w:right="0" w:firstLine="470"/>
        <w:jc w:val="both"/>
      </w:pPr>
      <w:r>
        <w:rPr>
          <w:rFonts w:hint="eastAsia" w:ascii="仿宋" w:hAnsi="仿宋" w:eastAsia="仿宋" w:cs="仿宋"/>
          <w:color w:val="000000"/>
          <w:sz w:val="19"/>
          <w:szCs w:val="19"/>
          <w:lang w:val="en-US"/>
        </w:rPr>
        <w:t>1. </w:t>
      </w:r>
      <w:r>
        <w:rPr>
          <w:rFonts w:hint="eastAsia" w:ascii="仿宋" w:hAnsi="仿宋" w:eastAsia="仿宋" w:cs="仿宋"/>
          <w:color w:val="000000"/>
          <w:sz w:val="19"/>
          <w:szCs w:val="19"/>
        </w:rPr>
        <w:t>复试成绩为百分制，精确至小数点后两位。</w:t>
      </w:r>
    </w:p>
    <w:p>
      <w:pPr>
        <w:pStyle w:val="3"/>
        <w:keepNext w:val="0"/>
        <w:keepLines w:val="0"/>
        <w:widowControl/>
        <w:suppressLineNumbers w:val="0"/>
        <w:spacing w:before="100" w:beforeAutospacing="0" w:after="0" w:afterAutospacing="0"/>
        <w:ind w:left="0" w:right="0" w:firstLine="470"/>
        <w:jc w:val="both"/>
      </w:pPr>
      <w:r>
        <w:rPr>
          <w:rFonts w:hint="eastAsia" w:ascii="仿宋" w:hAnsi="仿宋" w:eastAsia="仿宋" w:cs="仿宋"/>
          <w:color w:val="000000"/>
          <w:sz w:val="19"/>
          <w:szCs w:val="19"/>
        </w:rPr>
        <w:t>复试成绩</w:t>
      </w:r>
      <w:r>
        <w:rPr>
          <w:rFonts w:hint="eastAsia" w:ascii="仿宋" w:hAnsi="仿宋" w:eastAsia="仿宋" w:cs="仿宋"/>
          <w:color w:val="000000"/>
          <w:sz w:val="19"/>
          <w:szCs w:val="19"/>
          <w:lang w:val="en-US"/>
        </w:rPr>
        <w:t>=</w:t>
      </w:r>
      <w:r>
        <w:rPr>
          <w:rFonts w:hint="eastAsia" w:ascii="仿宋" w:hAnsi="仿宋" w:eastAsia="仿宋" w:cs="仿宋"/>
          <w:color w:val="000000"/>
          <w:sz w:val="19"/>
          <w:szCs w:val="19"/>
        </w:rPr>
        <w:t>（笔试成绩</w:t>
      </w:r>
      <w:r>
        <w:rPr>
          <w:rFonts w:hint="eastAsia" w:ascii="仿宋" w:hAnsi="仿宋" w:eastAsia="仿宋" w:cs="仿宋"/>
          <w:color w:val="000000"/>
          <w:sz w:val="19"/>
          <w:szCs w:val="19"/>
          <w:lang w:val="en-US"/>
        </w:rPr>
        <w:t>+</w:t>
      </w:r>
      <w:r>
        <w:rPr>
          <w:rFonts w:hint="eastAsia" w:ascii="仿宋" w:hAnsi="仿宋" w:eastAsia="仿宋" w:cs="仿宋"/>
          <w:color w:val="000000"/>
          <w:sz w:val="19"/>
          <w:szCs w:val="19"/>
        </w:rPr>
        <w:t>面试成绩）</w:t>
      </w:r>
      <w:r>
        <w:rPr>
          <w:rFonts w:hint="eastAsia" w:ascii="仿宋" w:hAnsi="仿宋" w:eastAsia="仿宋" w:cs="仿宋"/>
          <w:color w:val="000000"/>
          <w:spacing w:val="0"/>
        </w:rPr>
        <w:t>÷</w:t>
      </w:r>
      <w:r>
        <w:rPr>
          <w:rFonts w:hint="eastAsia" w:ascii="仿宋" w:hAnsi="仿宋" w:eastAsia="仿宋" w:cs="仿宋"/>
          <w:color w:val="000000"/>
          <w:spacing w:val="0"/>
          <w:lang w:val="en-US"/>
        </w:rPr>
        <w:t> 300 </w:t>
      </w:r>
      <w:r>
        <w:rPr>
          <w:rFonts w:hint="eastAsia" w:ascii="仿宋" w:hAnsi="仿宋" w:eastAsia="仿宋" w:cs="仿宋"/>
          <w:color w:val="000000"/>
          <w:spacing w:val="0"/>
        </w:rPr>
        <w:t>×</w:t>
      </w:r>
      <w:r>
        <w:rPr>
          <w:rFonts w:hint="eastAsia" w:ascii="仿宋" w:hAnsi="仿宋" w:eastAsia="仿宋" w:cs="仿宋"/>
          <w:color w:val="000000"/>
          <w:spacing w:val="0"/>
          <w:lang w:val="en-US"/>
        </w:rPr>
        <w:t>100</w:t>
      </w:r>
    </w:p>
    <w:p>
      <w:pPr>
        <w:pStyle w:val="3"/>
        <w:keepNext w:val="0"/>
        <w:keepLines w:val="0"/>
        <w:widowControl/>
        <w:suppressLineNumbers w:val="0"/>
        <w:spacing w:before="100" w:beforeAutospacing="0" w:after="0" w:afterAutospacing="0"/>
        <w:ind w:left="0" w:right="0" w:firstLine="470"/>
        <w:jc w:val="both"/>
      </w:pPr>
      <w:r>
        <w:rPr>
          <w:rFonts w:hint="eastAsia" w:ascii="仿宋" w:hAnsi="仿宋" w:eastAsia="仿宋" w:cs="仿宋"/>
          <w:color w:val="000000"/>
          <w:sz w:val="19"/>
          <w:szCs w:val="19"/>
          <w:lang w:val="en-US"/>
        </w:rPr>
        <w:t>2. </w:t>
      </w:r>
      <w:r>
        <w:rPr>
          <w:rFonts w:hint="eastAsia" w:ascii="仿宋" w:hAnsi="仿宋" w:eastAsia="仿宋" w:cs="仿宋"/>
          <w:color w:val="000000"/>
          <w:sz w:val="19"/>
          <w:szCs w:val="19"/>
        </w:rPr>
        <w:t>复试成绩一般在复试结束后</w:t>
      </w:r>
      <w:r>
        <w:rPr>
          <w:rFonts w:hint="eastAsia" w:ascii="仿宋" w:hAnsi="仿宋" w:eastAsia="仿宋" w:cs="仿宋"/>
          <w:color w:val="000000"/>
          <w:sz w:val="19"/>
          <w:szCs w:val="19"/>
          <w:lang w:val="en-US"/>
        </w:rPr>
        <w:t>2</w:t>
      </w:r>
      <w:r>
        <w:rPr>
          <w:rFonts w:hint="eastAsia" w:ascii="仿宋" w:hAnsi="仿宋" w:eastAsia="仿宋" w:cs="仿宋"/>
          <w:color w:val="000000"/>
          <w:sz w:val="19"/>
          <w:szCs w:val="19"/>
        </w:rPr>
        <w:t>天内公示。</w:t>
      </w:r>
    </w:p>
    <w:p>
      <w:pPr>
        <w:pStyle w:val="3"/>
        <w:keepNext w:val="0"/>
        <w:keepLines w:val="0"/>
        <w:widowControl/>
        <w:suppressLineNumbers w:val="0"/>
        <w:spacing w:before="100" w:beforeAutospacing="0" w:after="0" w:afterAutospacing="0"/>
        <w:ind w:left="0" w:right="0" w:firstLine="470"/>
        <w:jc w:val="both"/>
      </w:pPr>
      <w:r>
        <w:rPr>
          <w:rStyle w:val="6"/>
          <w:rFonts w:hint="eastAsia" w:ascii="仿宋" w:hAnsi="仿宋" w:eastAsia="仿宋" w:cs="仿宋"/>
          <w:b/>
          <w:bCs/>
          <w:color w:val="000000"/>
          <w:sz w:val="19"/>
          <w:szCs w:val="19"/>
        </w:rPr>
        <w:t>（六）复试费用</w:t>
      </w:r>
    </w:p>
    <w:p>
      <w:pPr>
        <w:pStyle w:val="3"/>
        <w:keepNext w:val="0"/>
        <w:keepLines w:val="0"/>
        <w:widowControl/>
        <w:suppressLineNumbers w:val="0"/>
        <w:spacing w:before="100" w:beforeAutospacing="0" w:after="0" w:afterAutospacing="0" w:line="225" w:lineRule="atLeast"/>
        <w:ind w:left="0" w:right="0" w:firstLine="350"/>
        <w:jc w:val="both"/>
      </w:pPr>
      <w:r>
        <w:rPr>
          <w:rFonts w:hint="eastAsia" w:ascii="仿宋" w:hAnsi="仿宋" w:eastAsia="仿宋" w:cs="仿宋"/>
          <w:color w:val="000000"/>
          <w:sz w:val="19"/>
          <w:szCs w:val="19"/>
          <w:lang w:val="en-US"/>
        </w:rPr>
        <w:t>根据物价文件，复试费用为100元/人。缴费平台网址：http://pay.cug.edu.cn/xysf/（考生请使用用户名登录，用户名为身份证号，密码为CUG@身份证后六位，最后一位X为大写）。</w:t>
      </w:r>
    </w:p>
    <w:p>
      <w:pPr>
        <w:pStyle w:val="3"/>
        <w:keepNext w:val="0"/>
        <w:keepLines w:val="0"/>
        <w:widowControl/>
        <w:suppressLineNumbers w:val="0"/>
        <w:spacing w:before="100" w:beforeAutospacing="0" w:after="0" w:afterAutospacing="0" w:line="225" w:lineRule="atLeast"/>
        <w:ind w:left="0" w:right="0" w:firstLine="370"/>
        <w:jc w:val="both"/>
      </w:pPr>
      <w:r>
        <w:rPr>
          <w:rStyle w:val="6"/>
          <w:rFonts w:hint="eastAsia" w:ascii="仿宋" w:hAnsi="仿宋" w:eastAsia="仿宋" w:cs="仿宋"/>
          <w:b/>
          <w:bCs/>
          <w:color w:val="000000"/>
          <w:sz w:val="19"/>
          <w:szCs w:val="19"/>
        </w:rPr>
        <w:t>（七）复试体检</w:t>
      </w:r>
    </w:p>
    <w:p>
      <w:pPr>
        <w:pStyle w:val="3"/>
        <w:keepNext w:val="0"/>
        <w:keepLines w:val="0"/>
        <w:widowControl/>
        <w:suppressLineNumbers w:val="0"/>
        <w:spacing w:before="100" w:beforeAutospacing="0" w:after="0" w:afterAutospacing="0" w:line="225" w:lineRule="atLeast"/>
        <w:ind w:left="0" w:right="0" w:firstLine="350"/>
        <w:jc w:val="both"/>
      </w:pPr>
      <w:r>
        <w:rPr>
          <w:rFonts w:hint="eastAsia" w:ascii="仿宋" w:hAnsi="仿宋" w:eastAsia="仿宋" w:cs="仿宋"/>
          <w:color w:val="000000"/>
          <w:sz w:val="19"/>
          <w:szCs w:val="19"/>
          <w:lang w:val="en-US"/>
        </w:rPr>
        <w:t>复试期间不组织开展体检，待考生拟录取后在规定时间参加我校新生入学体检。对于体检结果不合格的将根据教育部有关规定进行处理。</w:t>
      </w:r>
    </w:p>
    <w:p>
      <w:pPr>
        <w:pStyle w:val="3"/>
        <w:keepNext w:val="0"/>
        <w:keepLines w:val="0"/>
        <w:widowControl/>
        <w:suppressLineNumbers w:val="0"/>
        <w:spacing w:before="100" w:beforeAutospacing="0" w:after="0" w:afterAutospacing="0" w:line="225" w:lineRule="atLeast"/>
        <w:ind w:left="0" w:right="0" w:firstLine="370"/>
        <w:jc w:val="both"/>
      </w:pPr>
      <w:r>
        <w:rPr>
          <w:rStyle w:val="6"/>
          <w:rFonts w:hint="eastAsia" w:ascii="仿宋" w:hAnsi="仿宋" w:eastAsia="仿宋" w:cs="仿宋"/>
          <w:b/>
          <w:bCs/>
          <w:color w:val="000000"/>
          <w:sz w:val="19"/>
          <w:szCs w:val="19"/>
        </w:rPr>
        <w:t> (八) 未尽要求参照我院一志愿复试相关规定执行</w:t>
      </w:r>
    </w:p>
    <w:p>
      <w:pPr>
        <w:pStyle w:val="3"/>
        <w:keepNext w:val="0"/>
        <w:keepLines w:val="0"/>
        <w:widowControl/>
        <w:suppressLineNumbers w:val="0"/>
        <w:spacing w:before="100" w:beforeAutospacing="0" w:after="0" w:afterAutospacing="0" w:line="225" w:lineRule="atLeast"/>
        <w:ind w:left="0" w:right="0" w:firstLine="370"/>
        <w:jc w:val="both"/>
      </w:pPr>
    </w:p>
    <w:p>
      <w:pPr>
        <w:pStyle w:val="3"/>
        <w:keepNext w:val="0"/>
        <w:keepLines w:val="0"/>
        <w:widowControl/>
        <w:suppressLineNumbers w:val="0"/>
        <w:spacing w:before="100" w:beforeAutospacing="0" w:after="0" w:afterAutospacing="0" w:line="225" w:lineRule="atLeast"/>
        <w:ind w:left="0" w:right="0" w:firstLine="370"/>
        <w:jc w:val="both"/>
      </w:pPr>
      <w:r>
        <w:rPr>
          <w:rStyle w:val="6"/>
          <w:rFonts w:hint="eastAsia" w:ascii="仿宋" w:hAnsi="仿宋" w:eastAsia="仿宋" w:cs="仿宋"/>
          <w:b/>
          <w:bCs/>
          <w:color w:val="000000"/>
          <w:spacing w:val="20"/>
          <w:sz w:val="19"/>
          <w:szCs w:val="19"/>
        </w:rPr>
        <w:t>五、录取规则</w:t>
      </w:r>
    </w:p>
    <w:p>
      <w:pPr>
        <w:pStyle w:val="3"/>
        <w:keepNext w:val="0"/>
        <w:keepLines w:val="0"/>
        <w:widowControl/>
        <w:suppressLineNumbers w:val="0"/>
        <w:spacing w:before="100" w:beforeAutospacing="0" w:after="0" w:afterAutospacing="0" w:line="225" w:lineRule="atLeast"/>
        <w:ind w:left="0" w:right="0" w:firstLine="350"/>
      </w:pPr>
      <w:r>
        <w:rPr>
          <w:rFonts w:hint="eastAsia" w:ascii="仿宋" w:hAnsi="仿宋" w:eastAsia="仿宋" w:cs="仿宋"/>
          <w:color w:val="000000"/>
          <w:sz w:val="19"/>
          <w:szCs w:val="19"/>
          <w:lang w:val="en-US"/>
        </w:rPr>
        <w:t>1. 总成绩计算。总成绩=考生初试总分÷初试总分满分×100×20%＋复试成绩（百分制）×80%。总成绩采用百分制，精确至小数点后两位。</w:t>
      </w:r>
    </w:p>
    <w:p>
      <w:pPr>
        <w:pStyle w:val="3"/>
        <w:keepNext w:val="0"/>
        <w:keepLines w:val="0"/>
        <w:widowControl/>
        <w:suppressLineNumbers w:val="0"/>
        <w:spacing w:before="100" w:beforeAutospacing="0" w:after="0" w:afterAutospacing="0" w:line="225" w:lineRule="atLeast"/>
        <w:ind w:left="0" w:right="0" w:firstLine="370"/>
      </w:pPr>
      <w:r>
        <w:rPr>
          <w:rFonts w:hint="eastAsia" w:ascii="仿宋" w:hAnsi="仿宋" w:eastAsia="仿宋" w:cs="仿宋"/>
          <w:color w:val="000000"/>
          <w:sz w:val="19"/>
          <w:szCs w:val="19"/>
          <w:lang w:val="en-US"/>
        </w:rPr>
        <w:t>2. 录取规则</w:t>
      </w:r>
    </w:p>
    <w:p>
      <w:pPr>
        <w:pStyle w:val="3"/>
        <w:keepNext w:val="0"/>
        <w:keepLines w:val="0"/>
        <w:widowControl/>
        <w:suppressLineNumbers w:val="0"/>
        <w:spacing w:before="100" w:beforeAutospacing="0" w:after="0" w:afterAutospacing="0" w:line="225" w:lineRule="atLeast"/>
        <w:ind w:left="0" w:right="0" w:firstLine="370"/>
      </w:pPr>
      <w:r>
        <w:rPr>
          <w:rFonts w:hint="eastAsia" w:ascii="仿宋" w:hAnsi="仿宋" w:eastAsia="仿宋" w:cs="仿宋"/>
          <w:color w:val="000000"/>
          <w:sz w:val="19"/>
          <w:szCs w:val="19"/>
          <w:lang w:val="en-US"/>
        </w:rPr>
        <w:t>①根据考生总成绩，由高至低依次确定拟录取名单。总成绩排名相同的，以初试的总成绩排序；初试总成绩相同的，以统考单科成绩排序。</w:t>
      </w:r>
    </w:p>
    <w:p>
      <w:pPr>
        <w:pStyle w:val="3"/>
        <w:keepNext w:val="0"/>
        <w:keepLines w:val="0"/>
        <w:widowControl/>
        <w:suppressLineNumbers w:val="0"/>
        <w:spacing w:before="100" w:beforeAutospacing="0" w:after="0" w:afterAutospacing="0" w:line="225" w:lineRule="atLeast"/>
        <w:ind w:left="0" w:right="0" w:firstLine="370"/>
      </w:pPr>
      <w:r>
        <w:rPr>
          <w:rFonts w:hint="eastAsia" w:ascii="仿宋" w:hAnsi="仿宋" w:eastAsia="仿宋" w:cs="仿宋"/>
          <w:color w:val="000000"/>
          <w:sz w:val="19"/>
          <w:szCs w:val="19"/>
          <w:lang w:val="en-US"/>
        </w:rPr>
        <w:t>②拟录取考生必须在4月30日前办理完成拟录取手续（完成政审、转人事档案或者提交定向委培合同）。若因逾期未办理拟录取手续而造成无法录取的后果，由考生自己承担。所有拟录取名单须报送教育部审核通过，方为正式录取名单。</w:t>
      </w:r>
    </w:p>
    <w:p>
      <w:pPr>
        <w:pStyle w:val="3"/>
        <w:keepNext w:val="0"/>
        <w:keepLines w:val="0"/>
        <w:widowControl/>
        <w:suppressLineNumbers w:val="0"/>
        <w:spacing w:before="100" w:beforeAutospacing="0" w:after="0" w:afterAutospacing="0" w:line="225" w:lineRule="atLeast"/>
        <w:ind w:left="0" w:right="0" w:firstLine="350"/>
      </w:pPr>
      <w:r>
        <w:rPr>
          <w:rFonts w:hint="eastAsia" w:ascii="仿宋" w:hAnsi="仿宋" w:eastAsia="仿宋" w:cs="仿宋"/>
          <w:color w:val="000000"/>
          <w:sz w:val="19"/>
          <w:szCs w:val="19"/>
          <w:lang w:val="en-US"/>
        </w:rPr>
        <w:t>③拟录取名单公示10个工作日。公示结束无异议后，我院将按照下达招生计划情况向研究生院报送拟录取名单。</w:t>
      </w:r>
    </w:p>
    <w:p>
      <w:pPr>
        <w:pStyle w:val="3"/>
        <w:keepNext w:val="0"/>
        <w:keepLines w:val="0"/>
        <w:widowControl/>
        <w:suppressLineNumbers w:val="0"/>
        <w:spacing w:before="100" w:beforeAutospacing="0" w:after="0" w:afterAutospacing="0" w:line="225" w:lineRule="atLeast"/>
        <w:ind w:left="0" w:right="0" w:firstLine="370"/>
      </w:pPr>
      <w:r>
        <w:rPr>
          <w:rFonts w:hint="eastAsia" w:ascii="仿宋" w:hAnsi="仿宋" w:eastAsia="仿宋" w:cs="仿宋"/>
          <w:color w:val="000000"/>
          <w:sz w:val="19"/>
          <w:szCs w:val="19"/>
          <w:lang w:val="en-US"/>
        </w:rPr>
        <w:t>3. 如有以下情况之一的考生，不予录取或取消录取资格：</w:t>
      </w:r>
    </w:p>
    <w:p>
      <w:pPr>
        <w:pStyle w:val="3"/>
        <w:keepNext w:val="0"/>
        <w:keepLines w:val="0"/>
        <w:widowControl/>
        <w:suppressLineNumbers w:val="0"/>
        <w:spacing w:before="100" w:beforeAutospacing="0" w:after="100" w:afterAutospacing="0" w:line="225" w:lineRule="atLeast"/>
        <w:ind w:left="190" w:right="0" w:firstLine="190"/>
      </w:pPr>
      <w:r>
        <w:rPr>
          <w:rFonts w:hint="eastAsia" w:ascii="仿宋" w:hAnsi="仿宋" w:eastAsia="仿宋" w:cs="仿宋"/>
          <w:color w:val="000000"/>
          <w:sz w:val="19"/>
          <w:szCs w:val="19"/>
          <w:lang w:val="en-US"/>
        </w:rPr>
        <w:t>①思想政治素质和道德品质考核不合格。</w:t>
      </w:r>
    </w:p>
    <w:p>
      <w:pPr>
        <w:pStyle w:val="3"/>
        <w:keepNext w:val="0"/>
        <w:keepLines w:val="0"/>
        <w:widowControl/>
        <w:suppressLineNumbers w:val="0"/>
        <w:spacing w:before="100" w:beforeAutospacing="0" w:after="100" w:afterAutospacing="0" w:line="225" w:lineRule="atLeast"/>
        <w:ind w:left="190" w:right="0" w:firstLine="190"/>
      </w:pPr>
      <w:r>
        <w:rPr>
          <w:rFonts w:hint="eastAsia" w:ascii="仿宋" w:hAnsi="仿宋" w:eastAsia="仿宋" w:cs="仿宋"/>
          <w:color w:val="000000"/>
          <w:sz w:val="19"/>
          <w:szCs w:val="19"/>
          <w:lang w:val="en-US"/>
        </w:rPr>
        <w:t>②未参加复试或复试不合格(复试成绩为复试各环节考核成绩之和，复试成绩低于60分为不合格)。</w:t>
      </w:r>
    </w:p>
    <w:p>
      <w:pPr>
        <w:pStyle w:val="3"/>
        <w:keepNext w:val="0"/>
        <w:keepLines w:val="0"/>
        <w:widowControl/>
        <w:suppressLineNumbers w:val="0"/>
        <w:spacing w:before="100" w:beforeAutospacing="0" w:after="100" w:afterAutospacing="0" w:line="225" w:lineRule="atLeast"/>
        <w:ind w:left="190" w:right="0" w:firstLine="190"/>
      </w:pPr>
      <w:r>
        <w:rPr>
          <w:rFonts w:hint="eastAsia" w:ascii="仿宋" w:hAnsi="仿宋" w:eastAsia="仿宋" w:cs="仿宋"/>
          <w:color w:val="000000"/>
          <w:sz w:val="19"/>
          <w:szCs w:val="19"/>
          <w:lang w:val="en-US"/>
        </w:rPr>
        <w:t>③加试科目成绩不合格。</w:t>
      </w:r>
    </w:p>
    <w:p>
      <w:pPr>
        <w:pStyle w:val="3"/>
        <w:keepNext w:val="0"/>
        <w:keepLines w:val="0"/>
        <w:widowControl/>
        <w:suppressLineNumbers w:val="0"/>
        <w:spacing w:before="100" w:beforeAutospacing="0" w:after="100" w:afterAutospacing="0" w:line="225" w:lineRule="atLeast"/>
        <w:ind w:left="190" w:right="0" w:firstLine="190"/>
      </w:pPr>
      <w:r>
        <w:rPr>
          <w:rFonts w:hint="eastAsia" w:ascii="仿宋" w:hAnsi="仿宋" w:eastAsia="仿宋" w:cs="仿宋"/>
          <w:color w:val="000000"/>
          <w:sz w:val="19"/>
          <w:szCs w:val="19"/>
          <w:lang w:val="en-US"/>
        </w:rPr>
        <w:t>④未经拟录取名单公示。</w:t>
      </w:r>
    </w:p>
    <w:p>
      <w:pPr>
        <w:pStyle w:val="3"/>
        <w:keepNext w:val="0"/>
        <w:keepLines w:val="0"/>
        <w:widowControl/>
        <w:suppressLineNumbers w:val="0"/>
        <w:spacing w:before="100" w:beforeAutospacing="0" w:after="100" w:afterAutospacing="0" w:line="225" w:lineRule="atLeast"/>
        <w:ind w:left="190" w:right="0" w:firstLine="190"/>
      </w:pPr>
      <w:r>
        <w:rPr>
          <w:rFonts w:hint="eastAsia" w:ascii="仿宋" w:hAnsi="仿宋" w:eastAsia="仿宋" w:cs="仿宋"/>
          <w:color w:val="000000"/>
          <w:sz w:val="19"/>
          <w:szCs w:val="19"/>
          <w:lang w:val="en-US"/>
        </w:rPr>
        <w:t>⑤录取为定向就业考生未按时提交定向就业协议。</w:t>
      </w:r>
    </w:p>
    <w:p>
      <w:pPr>
        <w:pStyle w:val="3"/>
        <w:keepNext w:val="0"/>
        <w:keepLines w:val="0"/>
        <w:widowControl/>
        <w:suppressLineNumbers w:val="0"/>
        <w:spacing w:before="100" w:beforeAutospacing="0" w:after="100" w:afterAutospacing="0" w:line="225" w:lineRule="atLeast"/>
        <w:ind w:left="190" w:right="0" w:firstLine="190"/>
      </w:pPr>
      <w:r>
        <w:rPr>
          <w:rFonts w:hint="eastAsia" w:ascii="仿宋" w:hAnsi="仿宋" w:eastAsia="仿宋" w:cs="仿宋"/>
          <w:color w:val="000000"/>
          <w:sz w:val="19"/>
          <w:szCs w:val="19"/>
          <w:lang w:val="en-US"/>
        </w:rPr>
        <w:t>⑥未按时提交毕业证书等需提供的材料。</w:t>
      </w:r>
    </w:p>
    <w:p>
      <w:pPr>
        <w:pStyle w:val="3"/>
        <w:keepNext w:val="0"/>
        <w:keepLines w:val="0"/>
        <w:widowControl/>
        <w:suppressLineNumbers w:val="0"/>
        <w:spacing w:before="100" w:beforeAutospacing="0" w:after="100" w:afterAutospacing="0" w:line="225" w:lineRule="atLeast"/>
        <w:ind w:left="190" w:right="0" w:firstLine="190"/>
      </w:pPr>
      <w:r>
        <w:rPr>
          <w:rFonts w:hint="eastAsia" w:ascii="仿宋" w:hAnsi="仿宋" w:eastAsia="仿宋" w:cs="仿宋"/>
          <w:color w:val="000000"/>
          <w:sz w:val="19"/>
          <w:szCs w:val="19"/>
          <w:lang w:val="en-US"/>
        </w:rPr>
        <w:t>⑦提供虚假信息。</w:t>
      </w:r>
    </w:p>
    <w:p>
      <w:pPr>
        <w:pStyle w:val="3"/>
        <w:keepNext w:val="0"/>
        <w:keepLines w:val="0"/>
        <w:widowControl/>
        <w:suppressLineNumbers w:val="0"/>
        <w:spacing w:before="100" w:beforeAutospacing="0" w:after="0" w:afterAutospacing="0" w:line="225" w:lineRule="atLeast"/>
        <w:ind w:left="0" w:right="0" w:firstLine="370"/>
      </w:pPr>
      <w:r>
        <w:rPr>
          <w:rFonts w:hint="eastAsia" w:ascii="仿宋" w:hAnsi="仿宋" w:eastAsia="仿宋" w:cs="仿宋"/>
          <w:color w:val="000000"/>
          <w:sz w:val="19"/>
          <w:szCs w:val="19"/>
          <w:lang w:val="en-US"/>
        </w:rPr>
        <w:t>4. 录取类别</w:t>
      </w:r>
    </w:p>
    <w:p>
      <w:pPr>
        <w:pStyle w:val="3"/>
        <w:keepNext w:val="0"/>
        <w:keepLines w:val="0"/>
        <w:widowControl/>
        <w:suppressLineNumbers w:val="0"/>
        <w:spacing w:before="100" w:beforeAutospacing="0" w:after="0" w:afterAutospacing="0" w:line="225" w:lineRule="atLeast"/>
        <w:ind w:left="0" w:right="0" w:firstLine="370"/>
        <w:jc w:val="both"/>
      </w:pPr>
      <w:r>
        <w:rPr>
          <w:rFonts w:hint="eastAsia" w:ascii="仿宋" w:hAnsi="仿宋" w:eastAsia="仿宋" w:cs="仿宋"/>
          <w:color w:val="000000"/>
          <w:sz w:val="19"/>
          <w:szCs w:val="19"/>
          <w:lang w:val="en-US"/>
        </w:rPr>
        <w:t>①非定向：非定向硕士研究生人事档案须在规定时间内转至学校。毕业时，非定向就业的硕士研究生按本人与用人单位双向选择的办法就业。</w:t>
      </w:r>
    </w:p>
    <w:p>
      <w:pPr>
        <w:pStyle w:val="3"/>
        <w:keepNext w:val="0"/>
        <w:keepLines w:val="0"/>
        <w:widowControl/>
        <w:suppressLineNumbers w:val="0"/>
        <w:spacing w:before="100" w:beforeAutospacing="0" w:after="0" w:afterAutospacing="0" w:line="225" w:lineRule="atLeast"/>
        <w:ind w:left="0" w:right="0" w:firstLine="370"/>
        <w:jc w:val="both"/>
      </w:pPr>
      <w:r>
        <w:rPr>
          <w:rFonts w:hint="eastAsia" w:ascii="仿宋" w:hAnsi="仿宋" w:eastAsia="仿宋" w:cs="仿宋"/>
          <w:color w:val="000000"/>
          <w:sz w:val="19"/>
          <w:szCs w:val="19"/>
          <w:lang w:val="en-US"/>
        </w:rPr>
        <w:t>②定向：定向硕士研究生须在拟录取前与学校、用人单位签订定向委培合同。毕业时，按定向委培合同就业。原则上非全日制硕士研究生招收在职定向就业人员。</w:t>
      </w:r>
    </w:p>
    <w:p>
      <w:pPr>
        <w:pStyle w:val="3"/>
        <w:keepNext w:val="0"/>
        <w:keepLines w:val="0"/>
        <w:widowControl/>
        <w:suppressLineNumbers w:val="0"/>
        <w:spacing w:before="100" w:beforeAutospacing="0" w:after="0" w:afterAutospacing="0" w:line="225" w:lineRule="atLeast"/>
        <w:ind w:left="0" w:right="0" w:firstLine="370"/>
      </w:pPr>
      <w:r>
        <w:rPr>
          <w:rFonts w:hint="eastAsia" w:ascii="仿宋" w:hAnsi="仿宋" w:eastAsia="仿宋" w:cs="仿宋"/>
          <w:color w:val="000000"/>
          <w:sz w:val="19"/>
          <w:szCs w:val="19"/>
          <w:lang w:val="en-US"/>
        </w:rPr>
        <w:t>5. 学习方式</w:t>
      </w:r>
    </w:p>
    <w:p>
      <w:pPr>
        <w:pStyle w:val="3"/>
        <w:keepNext w:val="0"/>
        <w:keepLines w:val="0"/>
        <w:widowControl/>
        <w:suppressLineNumbers w:val="0"/>
        <w:spacing w:before="100" w:beforeAutospacing="0" w:after="0" w:afterAutospacing="0" w:line="225" w:lineRule="atLeast"/>
        <w:ind w:left="0" w:right="0" w:firstLine="370"/>
        <w:jc w:val="both"/>
      </w:pPr>
      <w:r>
        <w:rPr>
          <w:rFonts w:hint="eastAsia" w:ascii="仿宋" w:hAnsi="仿宋" w:eastAsia="仿宋" w:cs="仿宋"/>
          <w:color w:val="000000"/>
          <w:sz w:val="19"/>
          <w:szCs w:val="19"/>
          <w:lang w:val="en-US"/>
        </w:rPr>
        <w:t>①全日制：在基本修业年限或者学校规定年限内，须全脱产在校学习。</w:t>
      </w:r>
    </w:p>
    <w:p>
      <w:pPr>
        <w:pStyle w:val="3"/>
        <w:keepNext w:val="0"/>
        <w:keepLines w:val="0"/>
        <w:widowControl/>
        <w:suppressLineNumbers w:val="0"/>
        <w:spacing w:before="100" w:beforeAutospacing="0" w:after="0" w:afterAutospacing="0" w:line="225" w:lineRule="atLeast"/>
        <w:ind w:left="0" w:right="0" w:firstLine="370"/>
        <w:jc w:val="both"/>
      </w:pPr>
      <w:r>
        <w:rPr>
          <w:rFonts w:hint="eastAsia" w:ascii="仿宋" w:hAnsi="仿宋" w:eastAsia="仿宋" w:cs="仿宋"/>
          <w:color w:val="000000"/>
          <w:sz w:val="19"/>
          <w:szCs w:val="19"/>
          <w:lang w:val="en-US"/>
        </w:rPr>
        <w:t>②非全日制：在基本修业年限或者学校规定的修业年限（一般应适当延长基本修业年限）内，采取多种方式和灵活时间安排进行非脱产学习。在规定的时间内，达到毕业要求和学位授予标准的毕业生，将颁发硕士研究生毕业证和学位证，毕业证上注明学习方式为非全日制。</w:t>
      </w:r>
    </w:p>
    <w:p>
      <w:pPr>
        <w:pStyle w:val="3"/>
        <w:keepNext w:val="0"/>
        <w:keepLines w:val="0"/>
        <w:widowControl/>
        <w:suppressLineNumbers w:val="0"/>
        <w:spacing w:before="100" w:beforeAutospacing="0" w:after="0" w:afterAutospacing="0" w:line="225" w:lineRule="atLeast"/>
        <w:ind w:left="0" w:right="0" w:firstLine="370"/>
      </w:pPr>
      <w:r>
        <w:rPr>
          <w:rFonts w:hint="eastAsia" w:ascii="仿宋" w:hAnsi="仿宋" w:eastAsia="仿宋" w:cs="仿宋"/>
          <w:color w:val="000000"/>
          <w:sz w:val="19"/>
          <w:szCs w:val="19"/>
          <w:lang w:val="en-US"/>
        </w:rPr>
        <w:t>6. 学费及奖助学金</w:t>
      </w:r>
    </w:p>
    <w:p>
      <w:pPr>
        <w:pStyle w:val="3"/>
        <w:keepNext w:val="0"/>
        <w:keepLines w:val="0"/>
        <w:widowControl/>
        <w:suppressLineNumbers w:val="0"/>
        <w:spacing w:before="100" w:beforeAutospacing="0" w:after="0" w:afterAutospacing="0" w:line="225" w:lineRule="atLeast"/>
        <w:ind w:left="0" w:right="0" w:firstLine="370"/>
        <w:jc w:val="both"/>
      </w:pPr>
      <w:r>
        <w:rPr>
          <w:rFonts w:hint="eastAsia" w:ascii="仿宋" w:hAnsi="仿宋" w:eastAsia="仿宋" w:cs="仿宋"/>
          <w:color w:val="000000"/>
          <w:sz w:val="19"/>
          <w:szCs w:val="19"/>
          <w:lang w:val="en-US"/>
        </w:rPr>
        <w:t>学费请查阅《中国地质大学（武汉）2023年招收攻读硕士学位研究生招生简章》相关标准，奖助学金根据学校奖助相关政策执行。</w:t>
      </w:r>
    </w:p>
    <w:p>
      <w:pPr>
        <w:pStyle w:val="3"/>
        <w:keepNext w:val="0"/>
        <w:keepLines w:val="0"/>
        <w:widowControl/>
        <w:suppressLineNumbers w:val="0"/>
        <w:spacing w:before="0" w:beforeAutospacing="0" w:after="100" w:afterAutospacing="0" w:line="225" w:lineRule="atLeast"/>
        <w:ind w:left="0" w:right="0"/>
      </w:pPr>
      <w:r>
        <w:rPr>
          <w:rStyle w:val="6"/>
          <w:rFonts w:hint="eastAsia" w:ascii="仿宋" w:hAnsi="仿宋" w:eastAsia="仿宋" w:cs="仿宋"/>
          <w:b/>
          <w:bCs/>
          <w:color w:val="000000"/>
          <w:spacing w:val="20"/>
          <w:sz w:val="19"/>
          <w:szCs w:val="19"/>
        </w:rPr>
        <w:t>六、其他</w:t>
      </w:r>
    </w:p>
    <w:p>
      <w:pPr>
        <w:pStyle w:val="3"/>
        <w:keepNext w:val="0"/>
        <w:keepLines w:val="0"/>
        <w:widowControl/>
        <w:suppressLineNumbers w:val="0"/>
        <w:spacing w:before="70" w:beforeAutospacing="0" w:after="0" w:afterAutospacing="0" w:line="225" w:lineRule="atLeast"/>
        <w:ind w:left="450" w:right="0" w:firstLine="0"/>
      </w:pPr>
      <w:r>
        <w:rPr>
          <w:rStyle w:val="6"/>
          <w:rFonts w:hint="eastAsia" w:ascii="仿宋" w:hAnsi="仿宋" w:eastAsia="仿宋" w:cs="仿宋"/>
          <w:b/>
          <w:bCs/>
          <w:color w:val="000000"/>
          <w:sz w:val="19"/>
          <w:szCs w:val="19"/>
          <w:lang w:val="en-US"/>
        </w:rPr>
        <w:t>1.</w:t>
      </w:r>
      <w:r>
        <w:rPr>
          <w:rStyle w:val="6"/>
          <w:rFonts w:hint="eastAsia" w:ascii="仿宋" w:hAnsi="仿宋" w:eastAsia="仿宋" w:cs="仿宋"/>
          <w:b/>
          <w:bCs/>
          <w:color w:val="000000"/>
          <w:sz w:val="19"/>
          <w:szCs w:val="19"/>
        </w:rPr>
        <w:t>联系方式</w:t>
      </w:r>
    </w:p>
    <w:p>
      <w:pPr>
        <w:pStyle w:val="3"/>
        <w:keepNext w:val="0"/>
        <w:keepLines w:val="0"/>
        <w:widowControl/>
        <w:suppressLineNumbers w:val="0"/>
        <w:spacing w:before="70" w:beforeAutospacing="0" w:after="0" w:afterAutospacing="0" w:line="225" w:lineRule="atLeast"/>
        <w:ind w:left="450" w:right="0" w:firstLine="0"/>
      </w:pPr>
      <w:r>
        <w:rPr>
          <w:rFonts w:hint="eastAsia" w:ascii="仿宋" w:hAnsi="仿宋" w:eastAsia="仿宋" w:cs="仿宋"/>
          <w:color w:val="000000"/>
          <w:sz w:val="19"/>
          <w:szCs w:val="19"/>
        </w:rPr>
        <w:t>通讯地址</w:t>
      </w:r>
      <w:r>
        <w:rPr>
          <w:rFonts w:hint="eastAsia" w:ascii="仿宋" w:hAnsi="仿宋" w:eastAsia="仿宋" w:cs="仿宋"/>
          <w:color w:val="000000"/>
          <w:sz w:val="19"/>
          <w:szCs w:val="19"/>
          <w:lang w:val="en-US"/>
        </w:rPr>
        <w:t>:</w:t>
      </w:r>
      <w:r>
        <w:t> </w:t>
      </w:r>
      <w:r>
        <w:rPr>
          <w:rFonts w:hint="eastAsia" w:ascii="仿宋" w:hAnsi="仿宋" w:eastAsia="仿宋" w:cs="仿宋"/>
          <w:color w:val="000000"/>
          <w:sz w:val="19"/>
          <w:szCs w:val="19"/>
        </w:rPr>
        <w:t>湖北省武汉市东湖新技术开发区锦程街</w:t>
      </w:r>
      <w:r>
        <w:rPr>
          <w:rFonts w:hint="eastAsia" w:ascii="仿宋" w:hAnsi="仿宋" w:eastAsia="仿宋" w:cs="仿宋"/>
          <w:color w:val="000000"/>
          <w:sz w:val="19"/>
          <w:szCs w:val="19"/>
          <w:lang w:val="en-US"/>
        </w:rPr>
        <w:t>68</w:t>
      </w:r>
      <w:r>
        <w:rPr>
          <w:rFonts w:hint="eastAsia" w:ascii="仿宋" w:hAnsi="仿宋" w:eastAsia="仿宋" w:cs="仿宋"/>
          <w:color w:val="000000"/>
          <w:sz w:val="19"/>
          <w:szCs w:val="19"/>
        </w:rPr>
        <w:t>号中国地质大学（武汉）地理与信息工程学院</w:t>
      </w:r>
      <w:r>
        <w:rPr>
          <w:rFonts w:hint="eastAsia" w:ascii="仿宋" w:hAnsi="仿宋" w:eastAsia="仿宋" w:cs="仿宋"/>
          <w:color w:val="000000"/>
          <w:sz w:val="19"/>
          <w:szCs w:val="19"/>
          <w:lang w:val="en-US"/>
        </w:rPr>
        <w:t> </w:t>
      </w:r>
      <w:r>
        <w:rPr>
          <w:rFonts w:hint="eastAsia" w:ascii="仿宋" w:hAnsi="仿宋" w:eastAsia="仿宋" w:cs="仿宋"/>
          <w:color w:val="000000"/>
          <w:sz w:val="19"/>
          <w:szCs w:val="19"/>
        </w:rPr>
        <w:t>科</w:t>
      </w:r>
      <w:r>
        <w:rPr>
          <w:rFonts w:hint="eastAsia" w:ascii="仿宋" w:hAnsi="仿宋" w:eastAsia="仿宋" w:cs="仿宋"/>
          <w:color w:val="000000"/>
          <w:sz w:val="19"/>
          <w:szCs w:val="19"/>
          <w:lang w:val="en-US"/>
        </w:rPr>
        <w:t>8</w:t>
      </w:r>
      <w:r>
        <w:rPr>
          <w:rFonts w:hint="eastAsia" w:ascii="仿宋" w:hAnsi="仿宋" w:eastAsia="仿宋" w:cs="仿宋"/>
          <w:color w:val="000000"/>
          <w:sz w:val="19"/>
          <w:szCs w:val="19"/>
        </w:rPr>
        <w:t>楼</w:t>
      </w:r>
      <w:r>
        <w:rPr>
          <w:rFonts w:hint="eastAsia" w:ascii="仿宋" w:hAnsi="仿宋" w:eastAsia="仿宋" w:cs="仿宋"/>
          <w:color w:val="000000"/>
          <w:sz w:val="19"/>
          <w:szCs w:val="19"/>
          <w:lang w:val="en-US"/>
        </w:rPr>
        <w:t>472</w:t>
      </w:r>
      <w:r>
        <w:rPr>
          <w:rFonts w:hint="eastAsia" w:ascii="仿宋" w:hAnsi="仿宋" w:eastAsia="仿宋" w:cs="仿宋"/>
          <w:color w:val="000000"/>
          <w:sz w:val="19"/>
          <w:szCs w:val="19"/>
        </w:rPr>
        <w:t>陈老师（收）</w:t>
      </w:r>
      <w:r>
        <w:rPr>
          <w:rFonts w:hint="eastAsia" w:ascii="仿宋" w:hAnsi="仿宋" w:eastAsia="仿宋" w:cs="仿宋"/>
          <w:color w:val="000000"/>
          <w:sz w:val="19"/>
          <w:szCs w:val="19"/>
          <w:lang w:val="en-US"/>
        </w:rPr>
        <w:t> </w:t>
      </w:r>
      <w:r>
        <w:rPr>
          <w:rFonts w:hint="eastAsia" w:ascii="仿宋" w:hAnsi="仿宋" w:eastAsia="仿宋" w:cs="仿宋"/>
          <w:color w:val="000000"/>
          <w:sz w:val="19"/>
          <w:szCs w:val="19"/>
        </w:rPr>
        <w:t>邮政编码</w:t>
      </w:r>
      <w:r>
        <w:rPr>
          <w:rFonts w:hint="eastAsia" w:ascii="仿宋" w:hAnsi="仿宋" w:eastAsia="仿宋" w:cs="仿宋"/>
          <w:color w:val="000000"/>
          <w:sz w:val="19"/>
          <w:szCs w:val="19"/>
          <w:lang w:val="en-US"/>
        </w:rPr>
        <w:t>:</w:t>
      </w:r>
      <w:r>
        <w:rPr>
          <w:color w:val="000000"/>
          <w:sz w:val="19"/>
          <w:szCs w:val="19"/>
          <w:lang w:val="en-US"/>
        </w:rPr>
        <w:t> 430078</w:t>
      </w:r>
    </w:p>
    <w:p>
      <w:pPr>
        <w:pStyle w:val="3"/>
        <w:keepNext w:val="0"/>
        <w:keepLines w:val="0"/>
        <w:widowControl/>
        <w:suppressLineNumbers w:val="0"/>
        <w:spacing w:before="70" w:beforeAutospacing="0" w:after="0" w:afterAutospacing="0" w:line="225" w:lineRule="atLeast"/>
        <w:ind w:left="450" w:right="0" w:firstLine="0"/>
      </w:pPr>
      <w:r>
        <w:rPr>
          <w:rFonts w:hint="eastAsia" w:ascii="仿宋" w:hAnsi="仿宋" w:eastAsia="仿宋" w:cs="仿宋"/>
          <w:color w:val="000000"/>
          <w:sz w:val="19"/>
          <w:szCs w:val="19"/>
        </w:rPr>
        <w:t>电话</w:t>
      </w:r>
      <w:r>
        <w:rPr>
          <w:rFonts w:hint="eastAsia" w:ascii="仿宋" w:hAnsi="仿宋" w:eastAsia="仿宋" w:cs="仿宋"/>
          <w:color w:val="000000"/>
          <w:sz w:val="19"/>
          <w:szCs w:val="19"/>
          <w:lang w:val="en-US"/>
        </w:rPr>
        <w:t>: </w:t>
      </w:r>
      <w:r>
        <w:rPr>
          <w:color w:val="000000"/>
          <w:sz w:val="19"/>
          <w:szCs w:val="19"/>
          <w:lang w:val="en-US"/>
        </w:rPr>
        <w:t>027-67883809</w:t>
      </w:r>
      <w:r>
        <w:rPr>
          <w:rFonts w:hint="eastAsia" w:ascii="仿宋" w:hAnsi="仿宋" w:eastAsia="仿宋" w:cs="仿宋"/>
          <w:color w:val="000000"/>
          <w:sz w:val="19"/>
          <w:szCs w:val="19"/>
          <w:lang w:val="en-US"/>
        </w:rPr>
        <w:t> Email:</w:t>
      </w:r>
      <w:r>
        <w:rPr>
          <w:color w:val="000000"/>
          <w:sz w:val="19"/>
          <w:szCs w:val="19"/>
          <w:lang w:val="en-US"/>
        </w:rPr>
        <w:t> yjs06@cug.edu.cn</w:t>
      </w:r>
    </w:p>
    <w:p>
      <w:pPr>
        <w:pStyle w:val="3"/>
        <w:keepNext w:val="0"/>
        <w:keepLines w:val="0"/>
        <w:widowControl/>
        <w:suppressLineNumbers w:val="0"/>
        <w:spacing w:before="70" w:beforeAutospacing="0" w:after="0" w:afterAutospacing="0" w:line="225" w:lineRule="atLeast"/>
        <w:ind w:left="450" w:right="0" w:firstLine="0"/>
      </w:pPr>
      <w:r>
        <w:rPr>
          <w:rStyle w:val="6"/>
          <w:rFonts w:hint="eastAsia" w:ascii="仿宋" w:hAnsi="仿宋" w:eastAsia="仿宋" w:cs="仿宋"/>
          <w:b/>
          <w:bCs/>
          <w:color w:val="000000"/>
          <w:sz w:val="19"/>
          <w:szCs w:val="19"/>
          <w:lang w:val="en-US"/>
        </w:rPr>
        <w:t>2. </w:t>
      </w:r>
      <w:r>
        <w:rPr>
          <w:rStyle w:val="6"/>
          <w:rFonts w:hint="eastAsia" w:ascii="仿宋" w:hAnsi="仿宋" w:eastAsia="仿宋" w:cs="仿宋"/>
          <w:b/>
          <w:bCs/>
          <w:color w:val="000000"/>
          <w:sz w:val="19"/>
          <w:szCs w:val="19"/>
        </w:rPr>
        <w:t>申诉渠道</w:t>
      </w:r>
    </w:p>
    <w:p>
      <w:pPr>
        <w:pStyle w:val="3"/>
        <w:keepNext w:val="0"/>
        <w:keepLines w:val="0"/>
        <w:widowControl/>
        <w:suppressLineNumbers w:val="0"/>
        <w:spacing w:before="100" w:beforeAutospacing="0" w:after="100" w:afterAutospacing="0" w:line="225" w:lineRule="atLeast"/>
        <w:ind w:left="0" w:right="0" w:firstLine="370"/>
      </w:pPr>
      <w:r>
        <w:rPr>
          <w:rFonts w:hint="eastAsia" w:ascii="仿宋" w:hAnsi="仿宋" w:eastAsia="仿宋" w:cs="仿宋"/>
          <w:color w:val="000000"/>
          <w:sz w:val="19"/>
          <w:szCs w:val="19"/>
        </w:rPr>
        <w:t>研究生院：027-67885153；校监察处：027-67884345。</w:t>
      </w:r>
    </w:p>
    <w:p>
      <w:pPr>
        <w:pStyle w:val="3"/>
        <w:keepNext w:val="0"/>
        <w:keepLines w:val="0"/>
        <w:widowControl/>
        <w:suppressLineNumbers w:val="0"/>
        <w:spacing w:before="100" w:beforeAutospacing="0" w:after="100" w:afterAutospacing="0" w:line="225" w:lineRule="atLeast"/>
        <w:ind w:left="0" w:right="0" w:firstLine="370"/>
      </w:pPr>
      <w:r>
        <w:rPr>
          <w:rFonts w:hint="eastAsia" w:ascii="仿宋" w:hAnsi="仿宋" w:eastAsia="仿宋" w:cs="仿宋"/>
          <w:color w:val="000000"/>
          <w:sz w:val="19"/>
          <w:szCs w:val="19"/>
        </w:rPr>
        <w:t>举报邮箱：</w:t>
      </w:r>
      <w:r>
        <w:rPr>
          <w:rFonts w:hint="eastAsia" w:ascii="仿宋" w:hAnsi="仿宋" w:eastAsia="仿宋" w:cs="仿宋"/>
          <w:color w:val="000000"/>
          <w:sz w:val="19"/>
          <w:szCs w:val="19"/>
          <w:u w:val="single"/>
        </w:rPr>
        <w:fldChar w:fldCharType="begin"/>
      </w:r>
      <w:r>
        <w:rPr>
          <w:rFonts w:hint="eastAsia" w:ascii="仿宋" w:hAnsi="仿宋" w:eastAsia="仿宋" w:cs="仿宋"/>
          <w:color w:val="000000"/>
          <w:sz w:val="19"/>
          <w:szCs w:val="19"/>
          <w:u w:val="single"/>
        </w:rPr>
        <w:instrText xml:space="preserve"> HYPERLINK "mailto:yzb@cug.edu.cn" </w:instrText>
      </w:r>
      <w:r>
        <w:rPr>
          <w:rFonts w:hint="eastAsia" w:ascii="仿宋" w:hAnsi="仿宋" w:eastAsia="仿宋" w:cs="仿宋"/>
          <w:color w:val="000000"/>
          <w:sz w:val="19"/>
          <w:szCs w:val="19"/>
          <w:u w:val="single"/>
        </w:rPr>
        <w:fldChar w:fldCharType="separate"/>
      </w:r>
      <w:r>
        <w:rPr>
          <w:rStyle w:val="7"/>
          <w:rFonts w:hint="eastAsia" w:ascii="仿宋" w:hAnsi="仿宋" w:eastAsia="仿宋" w:cs="仿宋"/>
          <w:color w:val="000000"/>
          <w:sz w:val="19"/>
          <w:szCs w:val="19"/>
          <w:u w:val="single"/>
        </w:rPr>
        <w:t>yzb@cug.edu.cn</w:t>
      </w:r>
      <w:r>
        <w:rPr>
          <w:rFonts w:hint="eastAsia" w:ascii="仿宋" w:hAnsi="仿宋" w:eastAsia="仿宋" w:cs="仿宋"/>
          <w:color w:val="000000"/>
          <w:sz w:val="19"/>
          <w:szCs w:val="19"/>
          <w:u w:val="single"/>
        </w:rPr>
        <w:fldChar w:fldCharType="end"/>
      </w:r>
      <w:r>
        <w:rPr>
          <w:rFonts w:hint="eastAsia" w:ascii="仿宋" w:hAnsi="仿宋" w:eastAsia="仿宋" w:cs="仿宋"/>
          <w:color w:val="000000"/>
          <w:sz w:val="19"/>
          <w:szCs w:val="19"/>
        </w:rPr>
        <w:t>  </w:t>
      </w:r>
    </w:p>
    <w:p>
      <w:pPr>
        <w:pStyle w:val="3"/>
        <w:keepNext w:val="0"/>
        <w:keepLines w:val="0"/>
        <w:widowControl/>
        <w:suppressLineNumbers w:val="0"/>
        <w:spacing w:before="40" w:beforeAutospacing="0" w:after="0" w:afterAutospacing="0" w:line="225" w:lineRule="atLeast"/>
        <w:ind w:left="4280" w:right="0"/>
        <w:jc w:val="center"/>
      </w:pPr>
      <w:r>
        <w:rPr>
          <w:rFonts w:hint="eastAsia" w:ascii="仿宋" w:hAnsi="仿宋" w:eastAsia="仿宋" w:cs="仿宋"/>
          <w:color w:val="000000"/>
          <w:sz w:val="19"/>
          <w:szCs w:val="19"/>
        </w:rPr>
        <w:t>地理与信息工程学院</w:t>
      </w:r>
    </w:p>
    <w:p>
      <w:pPr>
        <w:pStyle w:val="3"/>
        <w:keepNext w:val="0"/>
        <w:keepLines w:val="0"/>
        <w:widowControl/>
        <w:suppressLineNumbers w:val="0"/>
        <w:spacing w:before="40" w:beforeAutospacing="0" w:after="0" w:afterAutospacing="0" w:line="225" w:lineRule="atLeast"/>
        <w:ind w:left="4280" w:right="0"/>
        <w:jc w:val="center"/>
      </w:pPr>
      <w:r>
        <w:rPr>
          <w:rFonts w:hint="eastAsia" w:ascii="仿宋" w:hAnsi="仿宋" w:eastAsia="仿宋" w:cs="仿宋"/>
          <w:color w:val="000000"/>
          <w:sz w:val="19"/>
          <w:szCs w:val="19"/>
        </w:rPr>
        <w:t>2023年3月31日</w:t>
      </w:r>
    </w:p>
    <w:p>
      <w:pPr>
        <w:pStyle w:val="3"/>
        <w:keepNext w:val="0"/>
        <w:keepLines w:val="0"/>
        <w:widowControl/>
        <w:suppressLineNumbers w:val="0"/>
        <w:spacing w:before="40" w:beforeAutospacing="0" w:after="0" w:afterAutospacing="0" w:line="225" w:lineRule="atLeast"/>
        <w:ind w:left="4280" w:right="0"/>
      </w:pPr>
      <w:r>
        <w:rPr>
          <w:rFonts w:hint="eastAsia" w:ascii="仿宋" w:hAnsi="仿宋" w:eastAsia="仿宋" w:cs="仿宋"/>
          <w:color w:val="000000"/>
          <w:sz w:val="19"/>
          <w:szCs w:val="19"/>
        </w:rPr>
        <w:t> </w:t>
      </w:r>
      <w:r>
        <w:rPr>
          <w:rFonts w:hint="eastAsia" w:ascii="仿宋" w:hAnsi="仿宋" w:eastAsia="仿宋" w:cs="仿宋"/>
          <w:color w:val="000000"/>
          <w:sz w:val="19"/>
          <w:szCs w:val="19"/>
          <w:bdr w:val="none" w:color="auto" w:sz="0" w:space="0"/>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仿宋" w:hAnsi="仿宋" w:eastAsia="仿宋" w:cs="仿宋"/>
          <w:color w:val="4174C5"/>
          <w:sz w:val="19"/>
          <w:szCs w:val="19"/>
          <w:u w:val="none"/>
        </w:rPr>
        <w:fldChar w:fldCharType="begin"/>
      </w:r>
      <w:r>
        <w:rPr>
          <w:rFonts w:hint="eastAsia" w:ascii="仿宋" w:hAnsi="仿宋" w:eastAsia="仿宋" w:cs="仿宋"/>
          <w:color w:val="4174C5"/>
          <w:sz w:val="19"/>
          <w:szCs w:val="19"/>
          <w:u w:val="none"/>
        </w:rPr>
        <w:instrText xml:space="preserve"> HYPERLINK "https://xgxy.cug.edu.cn/system/_content/download.jsp?urltype=news.DownloadAttachUrl&amp;owner=1539989693&amp;wbfileid=FBA58DD29721812B792A3F93C1893ECC" </w:instrText>
      </w:r>
      <w:r>
        <w:rPr>
          <w:rFonts w:hint="eastAsia" w:ascii="仿宋" w:hAnsi="仿宋" w:eastAsia="仿宋" w:cs="仿宋"/>
          <w:color w:val="4174C5"/>
          <w:sz w:val="19"/>
          <w:szCs w:val="19"/>
          <w:u w:val="none"/>
        </w:rPr>
        <w:fldChar w:fldCharType="separate"/>
      </w:r>
      <w:r>
        <w:rPr>
          <w:rStyle w:val="7"/>
          <w:rFonts w:hint="eastAsia" w:ascii="仿宋" w:hAnsi="仿宋" w:eastAsia="仿宋" w:cs="仿宋"/>
          <w:color w:val="4174C5"/>
          <w:sz w:val="19"/>
          <w:szCs w:val="19"/>
          <w:u w:val="none"/>
        </w:rPr>
        <w:t>附件1：中国地质大学(武汉)2023年硕士研究生招生思想政治品德表现审查表.docx</w:t>
      </w:r>
      <w:r>
        <w:rPr>
          <w:rFonts w:hint="eastAsia" w:ascii="仿宋" w:hAnsi="仿宋" w:eastAsia="仿宋" w:cs="仿宋"/>
          <w:color w:val="4174C5"/>
          <w:sz w:val="19"/>
          <w:szCs w:val="19"/>
          <w:u w:val="none"/>
        </w:rPr>
        <w:fldChar w:fldCharType="end"/>
      </w:r>
      <w:r>
        <w:rPr>
          <w:rFonts w:hint="eastAsia" w:ascii="仿宋" w:hAnsi="仿宋" w:eastAsia="仿宋" w:cs="仿宋"/>
          <w:color w:val="000000"/>
          <w:sz w:val="19"/>
          <w:szCs w:val="19"/>
        </w:rPr>
        <w:t> </w:t>
      </w:r>
    </w:p>
    <w:p>
      <w:pPr>
        <w:pStyle w:val="3"/>
        <w:keepNext w:val="0"/>
        <w:keepLines w:val="0"/>
        <w:widowControl/>
        <w:suppressLineNumbers w:val="0"/>
        <w:spacing w:before="40" w:beforeAutospacing="0" w:after="0" w:afterAutospacing="0" w:line="225" w:lineRule="atLeast"/>
        <w:ind w:left="4280" w:right="0"/>
      </w:pPr>
      <w:r>
        <w:rPr>
          <w:rFonts w:hint="eastAsia" w:ascii="仿宋" w:hAnsi="仿宋" w:eastAsia="仿宋" w:cs="仿宋"/>
          <w:color w:val="000000"/>
          <w:sz w:val="19"/>
          <w:szCs w:val="19"/>
          <w:bdr w:val="none" w:color="auto" w:sz="0" w:space="0"/>
        </w:rP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仿宋" w:hAnsi="仿宋" w:eastAsia="仿宋" w:cs="仿宋"/>
          <w:color w:val="4174C5"/>
          <w:sz w:val="19"/>
          <w:szCs w:val="19"/>
          <w:u w:val="none"/>
        </w:rPr>
        <w:fldChar w:fldCharType="begin"/>
      </w:r>
      <w:r>
        <w:rPr>
          <w:rFonts w:hint="eastAsia" w:ascii="仿宋" w:hAnsi="仿宋" w:eastAsia="仿宋" w:cs="仿宋"/>
          <w:color w:val="4174C5"/>
          <w:sz w:val="19"/>
          <w:szCs w:val="19"/>
          <w:u w:val="none"/>
        </w:rPr>
        <w:instrText xml:space="preserve"> HYPERLINK "https://xgxy.cug.edu.cn/system/_content/download.jsp?urltype=news.DownloadAttachUrl&amp;owner=1539989693&amp;wbfileid=CE9611298B24E613E09D46104C8E2C1F" </w:instrText>
      </w:r>
      <w:r>
        <w:rPr>
          <w:rFonts w:hint="eastAsia" w:ascii="仿宋" w:hAnsi="仿宋" w:eastAsia="仿宋" w:cs="仿宋"/>
          <w:color w:val="4174C5"/>
          <w:sz w:val="19"/>
          <w:szCs w:val="19"/>
          <w:u w:val="none"/>
        </w:rPr>
        <w:fldChar w:fldCharType="separate"/>
      </w:r>
      <w:r>
        <w:rPr>
          <w:rStyle w:val="7"/>
          <w:rFonts w:hint="eastAsia" w:ascii="仿宋" w:hAnsi="仿宋" w:eastAsia="仿宋" w:cs="仿宋"/>
          <w:color w:val="4174C5"/>
          <w:sz w:val="19"/>
          <w:szCs w:val="19"/>
          <w:u w:val="none"/>
        </w:rPr>
        <w:t>附件2 中国地质大学(武汉)2023年硕士研究生招生复试诚信应考及保密承诺书.doc</w:t>
      </w:r>
      <w:r>
        <w:rPr>
          <w:rFonts w:hint="eastAsia" w:ascii="仿宋" w:hAnsi="仿宋" w:eastAsia="仿宋" w:cs="仿宋"/>
          <w:color w:val="4174C5"/>
          <w:sz w:val="19"/>
          <w:szCs w:val="19"/>
          <w:u w:val="none"/>
        </w:rPr>
        <w:fldChar w:fldCharType="end"/>
      </w:r>
    </w:p>
    <w:p>
      <w:pPr>
        <w:pStyle w:val="3"/>
        <w:keepNext w:val="0"/>
        <w:keepLines w:val="0"/>
        <w:widowControl/>
        <w:suppressLineNumbers w:val="0"/>
        <w:spacing w:before="40" w:beforeAutospacing="0" w:after="0" w:afterAutospacing="0" w:line="225" w:lineRule="atLeast"/>
        <w:ind w:left="4280" w:right="0"/>
      </w:pPr>
      <w:r>
        <w:rPr>
          <w:rFonts w:hint="eastAsia" w:ascii="仿宋" w:hAnsi="仿宋" w:eastAsia="仿宋" w:cs="仿宋"/>
          <w:color w:val="000000"/>
          <w:sz w:val="19"/>
          <w:szCs w:val="19"/>
        </w:rPr>
        <w:t> </w:t>
      </w:r>
      <w:r>
        <w:rPr>
          <w:rFonts w:hint="eastAsia" w:ascii="仿宋" w:hAnsi="仿宋" w:eastAsia="仿宋" w:cs="仿宋"/>
          <w:color w:val="000000"/>
          <w:sz w:val="19"/>
          <w:szCs w:val="19"/>
          <w:bdr w:val="none" w:color="auto" w:sz="0" w:space="0"/>
        </w:rPr>
        <w:drawing>
          <wp:inline distT="0" distB="0" distL="114300" distR="114300">
            <wp:extent cx="152400" cy="1524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仿宋" w:hAnsi="仿宋" w:eastAsia="仿宋" w:cs="仿宋"/>
          <w:color w:val="4174C5"/>
          <w:sz w:val="19"/>
          <w:szCs w:val="19"/>
          <w:u w:val="none"/>
        </w:rPr>
        <w:fldChar w:fldCharType="begin"/>
      </w:r>
      <w:r>
        <w:rPr>
          <w:rFonts w:hint="eastAsia" w:ascii="仿宋" w:hAnsi="仿宋" w:eastAsia="仿宋" w:cs="仿宋"/>
          <w:color w:val="4174C5"/>
          <w:sz w:val="19"/>
          <w:szCs w:val="19"/>
          <w:u w:val="none"/>
        </w:rPr>
        <w:instrText xml:space="preserve"> HYPERLINK "https://xgxy.cug.edu.cn/system/_content/download.jsp?urltype=news.DownloadAttachUrl&amp;owner=1539989693&amp;wbfileid=81CC9AEAE652294BE2CD98F46D4A00B1" </w:instrText>
      </w:r>
      <w:r>
        <w:rPr>
          <w:rFonts w:hint="eastAsia" w:ascii="仿宋" w:hAnsi="仿宋" w:eastAsia="仿宋" w:cs="仿宋"/>
          <w:color w:val="4174C5"/>
          <w:sz w:val="19"/>
          <w:szCs w:val="19"/>
          <w:u w:val="none"/>
        </w:rPr>
        <w:fldChar w:fldCharType="separate"/>
      </w:r>
      <w:r>
        <w:rPr>
          <w:rStyle w:val="7"/>
          <w:rFonts w:hint="eastAsia" w:ascii="仿宋" w:hAnsi="仿宋" w:eastAsia="仿宋" w:cs="仿宋"/>
          <w:color w:val="4174C5"/>
          <w:sz w:val="19"/>
          <w:szCs w:val="19"/>
          <w:u w:val="none"/>
        </w:rPr>
        <w:t>附件3：地信学院2023年硕士研究生调剂考生个人简历模板.docx</w:t>
      </w:r>
      <w:r>
        <w:rPr>
          <w:rFonts w:hint="eastAsia" w:ascii="仿宋" w:hAnsi="仿宋" w:eastAsia="仿宋" w:cs="仿宋"/>
          <w:color w:val="4174C5"/>
          <w:sz w:val="19"/>
          <w:szCs w:val="19"/>
          <w:u w:val="none"/>
        </w:rPr>
        <w:fldChar w:fldCharType="end"/>
      </w:r>
    </w:p>
    <w:p>
      <w:pPr>
        <w:pStyle w:val="3"/>
        <w:keepNext w:val="0"/>
        <w:keepLines w:val="0"/>
        <w:widowControl/>
        <w:suppressLineNumbers w:val="0"/>
        <w:spacing w:before="100" w:beforeAutospacing="0" w:after="100" w:afterAutospacing="0"/>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57B0C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2023-05-20T06:08:37Z</dcterms:created>
  <dc:creator>Administrator</dc:creator>
  <cp:lastModifiedBy>王英</cp:lastModifiedBy>
  <dcterms:modified xsi:type="dcterms:W3CDTF">2023-05-20T06:08:45Z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B203E97BEAC84380A13A40FE0FCF26A7</vt:lpwstr>
  </property>
</Properties>
</file>