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280" w:lineRule="atLeast"/>
        <w:ind w:left="0" w:right="0"/>
        <w:jc w:val="center"/>
        <w:rPr>
          <w:b w:val="0"/>
          <w:bCs w:val="0"/>
          <w:color w:val="0055A7"/>
          <w:sz w:val="18"/>
          <w:szCs w:val="18"/>
        </w:rPr>
      </w:pPr>
      <w:bookmarkStart w:id="1" w:name="_GoBack"/>
      <w:r>
        <w:rPr>
          <w:b w:val="0"/>
          <w:bCs w:val="0"/>
          <w:i w:val="0"/>
          <w:iCs w:val="0"/>
          <w:caps w:val="0"/>
          <w:color w:val="0055A7"/>
          <w:spacing w:val="0"/>
          <w:sz w:val="18"/>
          <w:szCs w:val="18"/>
          <w:bdr w:val="none" w:color="auto" w:sz="0" w:space="0"/>
          <w:shd w:val="clear" w:fill="FFFFFF"/>
        </w:rPr>
        <w:t>中国石油大学（北京）地球科学学院2023年非全日制硕士研究生调剂工作实施细则</w:t>
      </w:r>
    </w:p>
    <w:bookmarkEnd w:id="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发布时间：2023-04-18</w:t>
      </w:r>
      <w:r>
        <w:rPr>
          <w:rFonts w:hint="eastAsia" w:ascii="微软雅黑" w:hAnsi="微软雅黑" w:eastAsia="微软雅黑" w:cs="微软雅黑"/>
          <w:i w:val="0"/>
          <w:iCs w:val="0"/>
          <w:caps w:val="0"/>
          <w:color w:val="333333"/>
          <w:spacing w:val="0"/>
          <w:kern w:val="0"/>
          <w:sz w:val="27"/>
          <w:szCs w:val="27"/>
          <w:bdr w:val="none" w:color="auto" w:sz="0" w:space="0"/>
          <w:shd w:val="clear" w:fill="FFFFFF"/>
          <w:lang w:val="en-US" w:eastAsia="zh-CN" w:bidi="ar"/>
        </w:rPr>
        <w:t> </w:t>
      </w: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浏览量： 91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300" w:lineRule="atLeast"/>
        <w:ind w:left="0" w:right="0" w:firstLine="0"/>
        <w:jc w:val="left"/>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kern w:val="0"/>
          <w:sz w:val="27"/>
          <w:szCs w:val="27"/>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教育部、北京市教育考试院关于调剂工作的文件精神，以及我校《中国石油大学（北京）2023年硕士研究生招生考试复试及录取工作方案》的具体要求，为做好我院2023年非全日制硕士研究生招生调剂工作，特制定本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1.符合调入专业的报考条件。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5.参加单独考试的考生不得调剂。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6.不接收“少数民族高层次骨干人才计划”、“退役大学生士兵”专项和享受少数民族照顾政策的调剂生。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7.同等学力考生调剂还需同时满足以下条件：近三年以第一作者发表油气地质相关方向中文核心期刊文章1篇及以上，且英语通过CET-4级（≥425分）。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（二）拟接收调剂专业、拟接收调剂人数、调剂分数线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300" w:lineRule="atLeast"/>
        <w:ind w:left="0" w:right="0"/>
        <w:jc w:val="center"/>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表1接收调剂生源的专业及初试分数线要求</w:t>
      </w:r>
    </w:p>
    <w:tbl>
      <w:tblPr>
        <w:tblW w:w="8946"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039"/>
        <w:gridCol w:w="724"/>
        <w:gridCol w:w="2015"/>
        <w:gridCol w:w="1699"/>
        <w:gridCol w:w="1369"/>
        <w:gridCol w:w="1216"/>
        <w:gridCol w:w="884"/>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913" w:type="dxa"/>
            <w:vMerge w:val="restart"/>
            <w:tcBorders>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19"/>
                <w:szCs w:val="19"/>
              </w:rPr>
            </w:pPr>
            <w:r>
              <w:rPr>
                <w:rFonts w:hint="eastAsia" w:ascii="宋体" w:hAnsi="宋体" w:eastAsia="宋体" w:cs="宋体"/>
                <w:b/>
                <w:bCs/>
                <w:color w:val="333333"/>
                <w:sz w:val="19"/>
                <w:szCs w:val="19"/>
                <w:bdr w:val="none" w:color="auto" w:sz="0" w:space="0"/>
              </w:rPr>
              <w:t>学习方式</w:t>
            </w:r>
          </w:p>
        </w:tc>
        <w:tc>
          <w:tcPr>
            <w:tcW w:w="635" w:type="dxa"/>
            <w:vMerge w:val="restart"/>
            <w:tcBorders>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b/>
                <w:bCs/>
                <w:color w:val="333333"/>
                <w:sz w:val="19"/>
                <w:szCs w:val="19"/>
                <w:bdr w:val="none" w:color="auto" w:sz="0" w:space="0"/>
              </w:rPr>
              <w:t>类型</w:t>
            </w:r>
          </w:p>
        </w:tc>
        <w:tc>
          <w:tcPr>
            <w:tcW w:w="1768" w:type="dxa"/>
            <w:vMerge w:val="restart"/>
            <w:tcBorders>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b/>
                <w:bCs/>
                <w:color w:val="333333"/>
                <w:sz w:val="19"/>
                <w:szCs w:val="19"/>
                <w:bdr w:val="none" w:color="auto" w:sz="0" w:space="0"/>
              </w:rPr>
              <w:t>接收调剂的招生专业</w:t>
            </w:r>
          </w:p>
        </w:tc>
        <w:tc>
          <w:tcPr>
            <w:tcW w:w="3759" w:type="dxa"/>
            <w:gridSpan w:val="3"/>
            <w:tcBorders>
              <w:left w:val="single" w:color="auto" w:sz="6" w:space="0"/>
              <w:bottom w:val="single" w:color="auto" w:sz="6" w:space="0"/>
              <w:right w:val="single" w:color="auto" w:sz="6" w:space="0"/>
            </w:tcBorders>
            <w:shd w:val="clear"/>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56" w:beforeAutospacing="0" w:after="156" w:afterAutospacing="0"/>
              <w:ind w:left="0" w:right="0"/>
              <w:jc w:val="center"/>
              <w:rPr>
                <w:color w:val="333333"/>
                <w:sz w:val="19"/>
                <w:szCs w:val="19"/>
              </w:rPr>
            </w:pPr>
            <w:r>
              <w:rPr>
                <w:rFonts w:hint="eastAsia" w:ascii="宋体" w:hAnsi="宋体" w:eastAsia="宋体" w:cs="宋体"/>
                <w:b/>
                <w:bCs/>
                <w:color w:val="333333"/>
                <w:sz w:val="19"/>
                <w:szCs w:val="19"/>
                <w:bdr w:val="none" w:color="auto" w:sz="0" w:space="0"/>
              </w:rPr>
              <w:t>调剂分数线</w:t>
            </w:r>
          </w:p>
        </w:tc>
        <w:tc>
          <w:tcPr>
            <w:tcW w:w="776" w:type="dxa"/>
            <w:vMerge w:val="restart"/>
            <w:tcBorders>
              <w:left w:val="single" w:color="auto" w:sz="6" w:space="0"/>
              <w:bottom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b/>
                <w:bCs/>
                <w:color w:val="333333"/>
                <w:sz w:val="19"/>
                <w:szCs w:val="19"/>
                <w:bdr w:val="none" w:color="auto" w:sz="0" w:space="0"/>
              </w:rPr>
              <w:t>拟接受调剂指标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913" w:type="dxa"/>
            <w:vMerge w:val="continue"/>
            <w:tcBorders>
              <w:bottom w:val="single" w:color="auto" w:sz="6" w:space="0"/>
              <w:right w:val="single" w:color="auto" w:sz="6" w:space="0"/>
            </w:tcBorders>
            <w:shd w:val="clear"/>
            <w:tcMar>
              <w:left w:w="101" w:type="dxa"/>
              <w:right w:w="101" w:type="dxa"/>
            </w:tcMar>
            <w:vAlign w:val="center"/>
          </w:tcPr>
          <w:p>
            <w:pPr>
              <w:rPr>
                <w:rFonts w:hint="eastAsia" w:ascii="宋体"/>
                <w:color w:val="333333"/>
                <w:sz w:val="24"/>
                <w:szCs w:val="24"/>
              </w:rPr>
            </w:pPr>
          </w:p>
        </w:tc>
        <w:tc>
          <w:tcPr>
            <w:tcW w:w="635" w:type="dxa"/>
            <w:vMerge w:val="continue"/>
            <w:tcBorders>
              <w:left w:val="single" w:color="auto" w:sz="6" w:space="0"/>
              <w:bottom w:val="single" w:color="auto" w:sz="6" w:space="0"/>
              <w:right w:val="single" w:color="auto" w:sz="6" w:space="0"/>
            </w:tcBorders>
            <w:shd w:val="clear"/>
            <w:tcMar>
              <w:left w:w="101" w:type="dxa"/>
              <w:right w:w="101" w:type="dxa"/>
            </w:tcMar>
            <w:vAlign w:val="center"/>
          </w:tcPr>
          <w:p>
            <w:pPr>
              <w:rPr>
                <w:rFonts w:hint="eastAsia" w:ascii="宋体"/>
                <w:color w:val="333333"/>
                <w:sz w:val="24"/>
                <w:szCs w:val="24"/>
              </w:rPr>
            </w:pPr>
          </w:p>
        </w:tc>
        <w:tc>
          <w:tcPr>
            <w:tcW w:w="1768" w:type="dxa"/>
            <w:vMerge w:val="continue"/>
            <w:tcBorders>
              <w:left w:val="single" w:color="auto" w:sz="6" w:space="0"/>
              <w:bottom w:val="single" w:color="auto" w:sz="6" w:space="0"/>
              <w:right w:val="single" w:color="auto" w:sz="6" w:space="0"/>
            </w:tcBorders>
            <w:shd w:val="clear"/>
            <w:tcMar>
              <w:left w:w="101" w:type="dxa"/>
              <w:right w:w="101" w:type="dxa"/>
            </w:tcMar>
            <w:vAlign w:val="center"/>
          </w:tcPr>
          <w:p>
            <w:pPr>
              <w:rPr>
                <w:rFonts w:hint="eastAsia" w:ascii="宋体"/>
                <w:color w:val="333333"/>
                <w:sz w:val="24"/>
                <w:szCs w:val="24"/>
              </w:rPr>
            </w:pPr>
          </w:p>
        </w:tc>
        <w:tc>
          <w:tcPr>
            <w:tcW w:w="1491"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b/>
                <w:bCs/>
                <w:color w:val="333333"/>
                <w:sz w:val="19"/>
                <w:szCs w:val="19"/>
                <w:bdr w:val="none" w:color="auto" w:sz="0" w:space="0"/>
              </w:rPr>
              <w:t>单科（科目满分=100分）</w:t>
            </w:r>
          </w:p>
        </w:tc>
        <w:tc>
          <w:tcPr>
            <w:tcW w:w="1201"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b/>
                <w:bCs/>
                <w:color w:val="333333"/>
                <w:sz w:val="19"/>
                <w:szCs w:val="19"/>
                <w:bdr w:val="none" w:color="auto" w:sz="0" w:space="0"/>
              </w:rPr>
              <w:t>单科（科目满分&gt;100分）</w:t>
            </w:r>
          </w:p>
        </w:tc>
        <w:tc>
          <w:tcPr>
            <w:tcW w:w="635"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b/>
                <w:bCs/>
                <w:color w:val="333333"/>
                <w:sz w:val="19"/>
                <w:szCs w:val="19"/>
                <w:bdr w:val="none" w:color="auto" w:sz="0" w:space="0"/>
              </w:rPr>
              <w:t>总分</w:t>
            </w:r>
          </w:p>
        </w:tc>
        <w:tc>
          <w:tcPr>
            <w:tcW w:w="776" w:type="dxa"/>
            <w:vMerge w:val="continue"/>
            <w:tcBorders>
              <w:left w:val="single" w:color="auto" w:sz="6" w:space="0"/>
              <w:bottom w:val="single" w:color="auto" w:sz="6" w:space="0"/>
            </w:tcBorders>
            <w:shd w:val="clear"/>
            <w:tcMar>
              <w:left w:w="101" w:type="dxa"/>
              <w:right w:w="101" w:type="dxa"/>
            </w:tcMar>
            <w:vAlign w:val="center"/>
          </w:tcPr>
          <w:p>
            <w:pPr>
              <w:rPr>
                <w:rFonts w:hint="eastAsia" w:ascii="宋体"/>
                <w:color w:val="333333"/>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913" w:type="dxa"/>
            <w:tcBorders>
              <w:top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color w:val="333333"/>
                <w:sz w:val="19"/>
                <w:szCs w:val="19"/>
                <w:bdr w:val="none" w:color="auto" w:sz="0" w:space="0"/>
              </w:rPr>
              <w:t>非全日制</w:t>
            </w:r>
          </w:p>
        </w:tc>
        <w:tc>
          <w:tcPr>
            <w:tcW w:w="635" w:type="dxa"/>
            <w:tcBorders>
              <w:top w:val="single" w:color="auto" w:sz="6" w:space="0"/>
              <w:left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color w:val="333333"/>
                <w:sz w:val="19"/>
                <w:szCs w:val="19"/>
                <w:bdr w:val="none" w:color="auto" w:sz="0" w:space="0"/>
              </w:rPr>
              <w:t>专业型</w:t>
            </w:r>
          </w:p>
        </w:tc>
        <w:tc>
          <w:tcPr>
            <w:tcW w:w="1768" w:type="dxa"/>
            <w:tcBorders>
              <w:top w:val="single" w:color="auto" w:sz="6" w:space="0"/>
              <w:left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color w:val="333333"/>
                <w:sz w:val="19"/>
                <w:szCs w:val="19"/>
                <w:bdr w:val="none" w:color="auto" w:sz="0" w:space="0"/>
              </w:rPr>
              <w:t>085703 地质工程</w:t>
            </w:r>
          </w:p>
        </w:tc>
        <w:tc>
          <w:tcPr>
            <w:tcW w:w="1491" w:type="dxa"/>
            <w:tcBorders>
              <w:top w:val="single" w:color="auto" w:sz="6" w:space="0"/>
              <w:left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color w:val="333333"/>
                <w:sz w:val="19"/>
                <w:szCs w:val="19"/>
                <w:bdr w:val="none" w:color="auto" w:sz="0" w:space="0"/>
              </w:rPr>
              <w:t>38</w:t>
            </w:r>
          </w:p>
        </w:tc>
        <w:tc>
          <w:tcPr>
            <w:tcW w:w="1201" w:type="dxa"/>
            <w:tcBorders>
              <w:top w:val="single" w:color="auto" w:sz="6" w:space="0"/>
              <w:left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color w:val="333333"/>
                <w:sz w:val="19"/>
                <w:szCs w:val="19"/>
                <w:bdr w:val="none" w:color="auto" w:sz="0" w:space="0"/>
              </w:rPr>
              <w:t>57</w:t>
            </w:r>
          </w:p>
        </w:tc>
        <w:tc>
          <w:tcPr>
            <w:tcW w:w="635" w:type="dxa"/>
            <w:tcBorders>
              <w:top w:val="single" w:color="auto" w:sz="6" w:space="0"/>
              <w:left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2" w:lineRule="atLeast"/>
              <w:ind w:left="0" w:right="0"/>
              <w:jc w:val="center"/>
              <w:rPr>
                <w:color w:val="333333"/>
              </w:rPr>
            </w:pPr>
            <w:r>
              <w:rPr>
                <w:rFonts w:hint="eastAsia" w:ascii="宋体" w:hAnsi="宋体" w:eastAsia="宋体" w:cs="宋体"/>
                <w:color w:val="333333"/>
                <w:sz w:val="19"/>
                <w:szCs w:val="19"/>
                <w:bdr w:val="none" w:color="auto" w:sz="0" w:space="0"/>
              </w:rPr>
              <w:t>273</w:t>
            </w:r>
          </w:p>
        </w:tc>
        <w:tc>
          <w:tcPr>
            <w:tcW w:w="776" w:type="dxa"/>
            <w:tcBorders>
              <w:top w:val="single" w:color="auto" w:sz="6" w:space="0"/>
              <w:left w:val="single" w:color="auto" w:sz="6" w:space="0"/>
            </w:tcBorders>
            <w:shd w:val="clear"/>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56" w:beforeAutospacing="0" w:after="156" w:afterAutospacing="0"/>
              <w:ind w:left="0" w:right="0"/>
              <w:jc w:val="center"/>
              <w:rPr>
                <w:color w:val="333333"/>
                <w:sz w:val="24"/>
                <w:szCs w:val="24"/>
              </w:rPr>
            </w:pPr>
            <w:r>
              <w:rPr>
                <w:rFonts w:hint="eastAsia" w:ascii="宋体" w:hAnsi="宋体" w:eastAsia="宋体" w:cs="宋体"/>
                <w:color w:val="333333"/>
                <w:sz w:val="24"/>
                <w:szCs w:val="24"/>
                <w:bdr w:val="none" w:color="auto" w:sz="0" w:space="0"/>
              </w:rPr>
              <w:t>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备注：因研究生招生指标调整，现增加1个地质工程（085703）专业非全日制招生指标。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200" w:lineRule="atLeast"/>
        <w:ind w:left="0" w:right="0" w:firstLine="482"/>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（一）报名。</w:t>
      </w:r>
      <w:r>
        <w:rPr>
          <w:rFonts w:hint="eastAsia" w:ascii="宋体" w:hAnsi="宋体" w:eastAsia="宋体" w:cs="宋体"/>
          <w:i w:val="0"/>
          <w:iCs w:val="0"/>
          <w:caps w:val="0"/>
          <w:color w:val="333333"/>
          <w:spacing w:val="0"/>
          <w:sz w:val="24"/>
          <w:szCs w:val="24"/>
          <w:bdr w:val="none" w:color="auto" w:sz="0" w:space="0"/>
          <w:shd w:val="clear" w:fill="FFFFFF"/>
        </w:rPr>
        <w:t>调剂工作通过“全国复试调剂服务系统”（https://yz.chsi.com.cn/yztj/）以下简称“调剂系统”进行，具体时间以调剂系统开通时间为准，每次开通调剂系统持续时间不低于12个小时。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学院本轮接收调剂专业调剂考生申请时间为：</w:t>
      </w:r>
      <w:r>
        <w:rPr>
          <w:rFonts w:hint="eastAsia" w:ascii="宋体" w:hAnsi="宋体" w:eastAsia="宋体" w:cs="宋体"/>
          <w:b/>
          <w:bCs/>
          <w:i w:val="0"/>
          <w:iCs w:val="0"/>
          <w:caps w:val="0"/>
          <w:color w:val="FF0000"/>
          <w:spacing w:val="0"/>
          <w:sz w:val="24"/>
          <w:szCs w:val="24"/>
          <w:bdr w:val="none" w:color="auto" w:sz="0" w:space="0"/>
          <w:shd w:val="clear" w:fill="FFFFFF"/>
        </w:rPr>
        <w:t>2023年4月18 日20:00至2023年4月19日 上午8:00。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（二）筛选。</w:t>
      </w:r>
      <w:r>
        <w:rPr>
          <w:rFonts w:hint="eastAsia" w:ascii="宋体" w:hAnsi="宋体" w:eastAsia="宋体" w:cs="宋体"/>
          <w:i w:val="0"/>
          <w:iCs w:val="0"/>
          <w:caps w:val="0"/>
          <w:color w:val="333333"/>
          <w:spacing w:val="0"/>
          <w:sz w:val="24"/>
          <w:szCs w:val="24"/>
          <w:bdr w:val="none" w:color="auto" w:sz="0" w:space="0"/>
          <w:shd w:val="clear" w:fill="FFFFFF"/>
        </w:rPr>
        <w:t>学院将根据考生的报考专业、毕业专业、考试科目及初试成绩等制定筛选调剂考生的原则（表2）。报名筛选的具体原则如下：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558" w:afterAutospacing="0" w:line="240" w:lineRule="atLeast"/>
        <w:ind w:left="0" w:right="0"/>
        <w:jc w:val="center"/>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表2拟调剂生源报考专业和选拔的本科专业列表</w:t>
      </w:r>
    </w:p>
    <w:tbl>
      <w:tblPr>
        <w:tblW w:w="8425"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2594"/>
        <w:gridCol w:w="3338"/>
        <w:gridCol w:w="249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607" w:hRule="atLeast"/>
          <w:jc w:val="center"/>
        </w:trPr>
        <w:tc>
          <w:tcPr>
            <w:tcW w:w="2523" w:type="dxa"/>
            <w:tcBorders>
              <w:bottom w:val="single" w:color="auto" w:sz="6" w:space="0"/>
              <w:right w:val="single" w:color="auto" w:sz="6" w:space="0"/>
            </w:tcBorders>
            <w:shd w:val="clear"/>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0"/>
                <w:szCs w:val="20"/>
              </w:rPr>
            </w:pPr>
            <w:r>
              <w:rPr>
                <w:rFonts w:hint="eastAsia" w:ascii="宋体" w:hAnsi="宋体" w:eastAsia="宋体" w:cs="宋体"/>
                <w:color w:val="333333"/>
                <w:sz w:val="20"/>
                <w:szCs w:val="20"/>
                <w:bdr w:val="none" w:color="auto" w:sz="0" w:space="0"/>
              </w:rPr>
              <w:t>接收调剂专业</w:t>
            </w:r>
          </w:p>
        </w:tc>
        <w:tc>
          <w:tcPr>
            <w:tcW w:w="3246" w:type="dxa"/>
            <w:tcBorders>
              <w:left w:val="single" w:color="auto" w:sz="6" w:space="0"/>
              <w:bottom w:val="single" w:color="auto" w:sz="6" w:space="0"/>
              <w:right w:val="single" w:color="auto" w:sz="6" w:space="0"/>
            </w:tcBorders>
            <w:shd w:val="clear"/>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0"/>
                <w:szCs w:val="20"/>
              </w:rPr>
            </w:pPr>
            <w:r>
              <w:rPr>
                <w:rFonts w:hint="eastAsia" w:ascii="宋体" w:hAnsi="宋体" w:eastAsia="宋体" w:cs="宋体"/>
                <w:color w:val="333333"/>
                <w:sz w:val="20"/>
                <w:szCs w:val="20"/>
                <w:bdr w:val="none" w:color="auto" w:sz="0" w:space="0"/>
              </w:rPr>
              <w:t>调剂生第一志愿报考专业</w:t>
            </w:r>
          </w:p>
        </w:tc>
        <w:tc>
          <w:tcPr>
            <w:tcW w:w="2425" w:type="dxa"/>
            <w:tcBorders>
              <w:left w:val="single" w:color="auto" w:sz="6" w:space="0"/>
              <w:bottom w:val="single" w:color="auto" w:sz="6" w:space="0"/>
            </w:tcBorders>
            <w:shd w:val="clear"/>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0"/>
                <w:szCs w:val="20"/>
              </w:rPr>
            </w:pPr>
            <w:r>
              <w:rPr>
                <w:rFonts w:hint="eastAsia" w:ascii="宋体" w:hAnsi="宋体" w:eastAsia="宋体" w:cs="宋体"/>
                <w:color w:val="333333"/>
                <w:sz w:val="20"/>
                <w:szCs w:val="20"/>
                <w:bdr w:val="none" w:color="auto" w:sz="0" w:space="0"/>
              </w:rPr>
              <w:t>调剂生毕业专业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949" w:hRule="atLeast"/>
          <w:jc w:val="center"/>
        </w:trPr>
        <w:tc>
          <w:tcPr>
            <w:tcW w:w="2523" w:type="dxa"/>
            <w:tcBorders>
              <w:top w:val="single" w:color="auto" w:sz="6" w:space="0"/>
              <w:right w:val="single" w:color="auto"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0"/>
                <w:szCs w:val="20"/>
              </w:rPr>
            </w:pPr>
            <w:r>
              <w:rPr>
                <w:rFonts w:hint="eastAsia" w:ascii="宋体" w:hAnsi="宋体" w:eastAsia="宋体" w:cs="宋体"/>
                <w:color w:val="333333"/>
                <w:sz w:val="20"/>
                <w:szCs w:val="20"/>
                <w:bdr w:val="none" w:color="auto" w:sz="0" w:space="0"/>
              </w:rPr>
              <w:t>085703 地质工程</w:t>
            </w:r>
          </w:p>
        </w:tc>
        <w:tc>
          <w:tcPr>
            <w:tcW w:w="3246" w:type="dxa"/>
            <w:tcBorders>
              <w:top w:val="single" w:color="auto" w:sz="6" w:space="0"/>
              <w:left w:val="single" w:color="auto" w:sz="6" w:space="0"/>
              <w:right w:val="single" w:color="auto"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0"/>
                <w:szCs w:val="20"/>
              </w:rPr>
            </w:pPr>
            <w:r>
              <w:rPr>
                <w:rFonts w:hint="eastAsia" w:ascii="宋体" w:hAnsi="宋体" w:eastAsia="宋体" w:cs="宋体"/>
                <w:color w:val="333333"/>
                <w:sz w:val="20"/>
                <w:szCs w:val="20"/>
                <w:bdr w:val="none" w:color="auto" w:sz="0" w:space="0"/>
              </w:rPr>
              <w:t>085703 地质工程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0"/>
                <w:szCs w:val="20"/>
              </w:rPr>
            </w:pPr>
            <w:r>
              <w:rPr>
                <w:rFonts w:hint="eastAsia" w:ascii="宋体" w:hAnsi="宋体" w:eastAsia="宋体" w:cs="宋体"/>
                <w:color w:val="333333"/>
                <w:sz w:val="20"/>
                <w:szCs w:val="20"/>
                <w:bdr w:val="none" w:color="auto" w:sz="0" w:space="0"/>
              </w:rPr>
              <w:t>081800 地质资源与地质工程</w:t>
            </w:r>
          </w:p>
        </w:tc>
        <w:tc>
          <w:tcPr>
            <w:tcW w:w="2425" w:type="dxa"/>
            <w:tcBorders>
              <w:top w:val="single" w:color="auto" w:sz="6" w:space="0"/>
              <w:left w:val="single" w:color="auto" w:sz="6" w:space="0"/>
            </w:tcBorders>
            <w:shd w:val="clear" w:color="auto" w:fill="FFFFFF"/>
            <w:tcMar>
              <w:top w:w="16" w:type="dxa"/>
              <w:left w:w="28" w:type="dxa"/>
              <w:bottom w:w="16" w:type="dxa"/>
              <w:right w:w="2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0"/>
                <w:szCs w:val="20"/>
              </w:rPr>
            </w:pPr>
            <w:r>
              <w:rPr>
                <w:rFonts w:hint="eastAsia" w:ascii="宋体" w:hAnsi="宋体" w:eastAsia="宋体" w:cs="宋体"/>
                <w:color w:val="333333"/>
                <w:sz w:val="20"/>
                <w:szCs w:val="20"/>
                <w:bdr w:val="none" w:color="auto" w:sz="0" w:space="0"/>
              </w:rPr>
              <w:t>资源勘查工程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333333"/>
                <w:sz w:val="20"/>
                <w:szCs w:val="20"/>
              </w:rPr>
            </w:pPr>
            <w:r>
              <w:rPr>
                <w:rFonts w:hint="eastAsia" w:ascii="宋体" w:hAnsi="宋体" w:eastAsia="宋体" w:cs="宋体"/>
                <w:color w:val="333333"/>
                <w:sz w:val="20"/>
                <w:szCs w:val="20"/>
                <w:bdr w:val="none" w:color="auto" w:sz="0" w:space="0"/>
              </w:rPr>
              <w:t>地质学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筛选原则：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申请调剂考生的报考专业、本科所学或毕业专业及初试总成绩等情况对申请调剂的考生进行筛选。按照初试总成绩由高到低排序筛选，直至达到招生专业的复试人数要求（缺额指标的150%）为止。其中初试选考石油地质学相关科目的考生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学院向考生发送复试通知后，待调剂考生数据导入校内系统后，考生登录http://gmss.cup.edu.cn/logon选择导师，提交资审材料，审核合格后确认参加复试。学院将根据调剂考生报名和审查通过情况安排复试。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FF0000"/>
          <w:spacing w:val="0"/>
          <w:sz w:val="24"/>
          <w:szCs w:val="24"/>
          <w:bdr w:val="none" w:color="auto" w:sz="0" w:space="0"/>
          <w:shd w:val="clear" w:fill="FFFFFF"/>
        </w:rPr>
        <w:t>复试名单、复试资格审查、复试时间安排后续发布在学院主页【通知公告】。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对于符合教育部加分政策的调剂考生，须于</w:t>
      </w:r>
      <w:r>
        <w:rPr>
          <w:rFonts w:hint="eastAsia" w:ascii="宋体" w:hAnsi="宋体" w:eastAsia="宋体" w:cs="宋体"/>
          <w:b/>
          <w:bCs/>
          <w:i w:val="0"/>
          <w:iCs w:val="0"/>
          <w:caps w:val="0"/>
          <w:color w:val="333333"/>
          <w:spacing w:val="0"/>
          <w:sz w:val="24"/>
          <w:szCs w:val="24"/>
          <w:bdr w:val="none" w:color="auto" w:sz="0" w:space="0"/>
          <w:shd w:val="clear" w:fill="FFFFFF"/>
        </w:rPr>
        <w:t>2023年4月19日上午8:00前</w:t>
      </w:r>
      <w:r>
        <w:rPr>
          <w:rFonts w:hint="eastAsia" w:ascii="宋体" w:hAnsi="宋体" w:eastAsia="宋体" w:cs="宋体"/>
          <w:i w:val="0"/>
          <w:iCs w:val="0"/>
          <w:caps w:val="0"/>
          <w:color w:val="333333"/>
          <w:spacing w:val="0"/>
          <w:sz w:val="24"/>
          <w:szCs w:val="24"/>
          <w:bdr w:val="none" w:color="auto" w:sz="0" w:space="0"/>
          <w:shd w:val="clear" w:fill="FFFFFF"/>
        </w:rPr>
        <w:t>，将本人有效居民身份证件（正反面）、书面说明（手写签名）以及证明材料，扫描或拍照后，以考生的准考证号+姓名+加分政策名称作为邮件主题，同时发送至学院邮箱(hongjl@cup.edu.cn)和研招办邮箱（</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instrText xml:space="preserve"> HYPERLINK "mailto:sdyzb@cup.edu.cn" </w:instrTex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separate"/>
      </w:r>
      <w:r>
        <w:rPr>
          <w:rStyle w:val="6"/>
          <w:rFonts w:hint="eastAsia" w:ascii="宋体" w:hAnsi="宋体" w:eastAsia="宋体" w:cs="宋体"/>
          <w:i w:val="0"/>
          <w:iCs w:val="0"/>
          <w:caps w:val="0"/>
          <w:color w:val="000000"/>
          <w:spacing w:val="0"/>
          <w:sz w:val="24"/>
          <w:szCs w:val="24"/>
          <w:u w:val="none"/>
          <w:bdr w:val="none" w:color="auto" w:sz="0" w:space="0"/>
          <w:shd w:val="clear" w:fill="FFFFFF"/>
        </w:rPr>
        <w:t>sdyzb@cup.edu.cn</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end"/>
      </w:r>
      <w:r>
        <w:rPr>
          <w:rFonts w:hint="eastAsia" w:ascii="宋体" w:hAnsi="宋体" w:eastAsia="宋体" w:cs="宋体"/>
          <w:i w:val="0"/>
          <w:iCs w:val="0"/>
          <w:caps w:val="0"/>
          <w:color w:val="333333"/>
          <w:spacing w:val="0"/>
          <w:sz w:val="24"/>
          <w:szCs w:val="24"/>
          <w:bdr w:val="none" w:color="auto" w:sz="0" w:space="0"/>
          <w:shd w:val="clear" w:fill="FFFFFF"/>
        </w:rPr>
        <w:t>）；收到考生提交的材料后，我校将根据教育部最新文件及名单核实考生加分资格。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同等学力加试：</w:t>
      </w:r>
      <w:r>
        <w:rPr>
          <w:rFonts w:hint="eastAsia" w:ascii="宋体" w:hAnsi="宋体" w:eastAsia="宋体" w:cs="宋体"/>
          <w:i w:val="0"/>
          <w:iCs w:val="0"/>
          <w:caps w:val="0"/>
          <w:color w:val="333333"/>
          <w:spacing w:val="0"/>
          <w:sz w:val="24"/>
          <w:szCs w:val="24"/>
          <w:bdr w:val="none" w:color="auto" w:sz="0" w:space="0"/>
          <w:shd w:val="clear" w:fill="FFFFFF"/>
        </w:rPr>
        <w:t>以同等学力身份报考，须在复试中加试两门与所报考专业相关的大学本科主干课程，加试科目内容不得与初试科目和复试科目中的专业知识相同。试卷满分为100分，加试方式为远程监考情况下笔试，时长每门2小时，加试时间另行通知。加试科目成绩不及格（低于60分），不予录取。报考工程管理硕士的同等学力考生不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（四）待录取。</w:t>
      </w:r>
      <w:r>
        <w:rPr>
          <w:rFonts w:hint="eastAsia" w:ascii="宋体" w:hAnsi="宋体" w:eastAsia="宋体" w:cs="宋体"/>
          <w:i w:val="0"/>
          <w:iCs w:val="0"/>
          <w:caps w:val="0"/>
          <w:color w:val="333333"/>
          <w:spacing w:val="0"/>
          <w:sz w:val="24"/>
          <w:szCs w:val="24"/>
          <w:bdr w:val="none" w:color="auto" w:sz="0" w:space="0"/>
          <w:shd w:val="clear" w:fill="FFFFFF"/>
        </w:rPr>
        <w:t>调剂考生复试考核方式、拟录取名单的确定、待录取办法等其它要求，参照</w:t>
      </w:r>
      <w:r>
        <w:rPr>
          <w:rFonts w:hint="eastAsia" w:ascii="宋体" w:hAnsi="宋体" w:eastAsia="宋体" w:cs="宋体"/>
          <w:i w:val="0"/>
          <w:iCs w:val="0"/>
          <w:caps w:val="0"/>
          <w:color w:val="333333"/>
          <w:spacing w:val="0"/>
          <w:sz w:val="24"/>
          <w:szCs w:val="24"/>
          <w:u w:val="single"/>
          <w:bdr w:val="none" w:color="auto" w:sz="0" w:space="0"/>
          <w:shd w:val="clear" w:fill="FFFFFF"/>
        </w:rPr>
        <w:t>《中国石油大学（北京）地球科学学院2023年学术型、专业型硕士研究生招生复试细则》</w:t>
      </w:r>
      <w:r>
        <w:rPr>
          <w:rFonts w:hint="eastAsia" w:ascii="宋体" w:hAnsi="宋体" w:eastAsia="宋体" w:cs="宋体"/>
          <w:i w:val="0"/>
          <w:iCs w:val="0"/>
          <w:caps w:val="0"/>
          <w:color w:val="333333"/>
          <w:spacing w:val="0"/>
          <w:sz w:val="24"/>
          <w:szCs w:val="24"/>
          <w:bdr w:val="none" w:color="auto" w:sz="0" w:space="0"/>
          <w:shd w:val="clear" w:fill="FFFFFF"/>
        </w:rPr>
        <w:t>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三、调剂考生的信息公示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7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调剂考生拟录取名单将在学院官网进行公示，公示时间不少于10个工作日。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四、考生接待电话和纪检监察部门受理考生投诉的监督举报电话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学院招生咨询电话：010-89733074，邮箱：hongjl@cup.edu.cn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学院招生监督电话：010-89734935，邮箱：xhwang@cup.edu.cn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bookmarkStart w:id="0" w:name="_Hlk38872644"/>
      <w:bookmarkEnd w:id="0"/>
      <w:r>
        <w:rPr>
          <w:rFonts w:hint="eastAsia" w:ascii="宋体" w:hAnsi="宋体" w:eastAsia="宋体" w:cs="宋体"/>
          <w:i w:val="0"/>
          <w:iCs w:val="0"/>
          <w:caps w:val="0"/>
          <w:color w:val="333333"/>
          <w:spacing w:val="0"/>
          <w:sz w:val="24"/>
          <w:szCs w:val="24"/>
          <w:bdr w:val="none" w:color="auto" w:sz="0" w:space="0"/>
          <w:shd w:val="clear" w:fill="FFFFFF"/>
        </w:rPr>
        <w:t>研究生院招生办公室电话：010-89733075，邮箱：sdyzb@cup.edu.cn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监督举报电话：010-89733105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北京教育考试院研究生招生办公室招生专用监督电话：010-82837456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400" w:afterAutospacing="0" w:line="200" w:lineRule="atLeast"/>
        <w:ind w:left="0" w:right="0" w:firstLine="470"/>
        <w:jc w:val="both"/>
        <w:rPr>
          <w:color w:val="333333"/>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1.本细则由地球科学学院研究生招生工作领导小组负责解释。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00" w:lineRule="atLeast"/>
        <w:ind w:left="0" w:right="0" w:firstLine="480"/>
        <w:jc w:val="both"/>
        <w:rPr>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2.其它未尽事宜由地球科学学院研究生招生工作领导小组决定。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80" w:lineRule="atLeast"/>
        <w:ind w:left="0" w:right="0" w:firstLine="4"/>
        <w:jc w:val="right"/>
        <w:rPr>
          <w:color w:val="333333"/>
          <w:sz w:val="28"/>
          <w:szCs w:val="28"/>
        </w:rPr>
      </w:pPr>
      <w:r>
        <w:rPr>
          <w:rFonts w:ascii="仿宋_GB2312" w:hAnsi="微软雅黑" w:eastAsia="仿宋_GB2312" w:cs="仿宋_GB2312"/>
          <w:i w:val="0"/>
          <w:iCs w:val="0"/>
          <w:caps w:val="0"/>
          <w:color w:val="333333"/>
          <w:spacing w:val="0"/>
          <w:sz w:val="28"/>
          <w:szCs w:val="28"/>
          <w:bdr w:val="none" w:color="auto" w:sz="0" w:space="0"/>
          <w:shd w:val="clear" w:fill="FFFFFF"/>
        </w:rPr>
        <w:t>地球科学学院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80" w:lineRule="atLeast"/>
        <w:ind w:left="0" w:right="0" w:firstLine="4"/>
        <w:jc w:val="right"/>
        <w:rPr>
          <w:color w:val="333333"/>
          <w:sz w:val="28"/>
          <w:szCs w:val="28"/>
        </w:rPr>
      </w:pPr>
      <w:r>
        <w:rPr>
          <w:rFonts w:hint="default" w:ascii="Times New Roman" w:hAnsi="Times New Roman" w:eastAsia="微软雅黑" w:cs="Times New Roman"/>
          <w:i w:val="0"/>
          <w:iCs w:val="0"/>
          <w:caps w:val="0"/>
          <w:color w:val="333333"/>
          <w:spacing w:val="0"/>
          <w:sz w:val="28"/>
          <w:szCs w:val="28"/>
          <w:bdr w:val="none" w:color="auto" w:sz="0" w:space="0"/>
          <w:shd w:val="clear" w:fill="FFFFFF"/>
        </w:rPr>
        <w:t>2023</w:t>
      </w:r>
      <w:r>
        <w:rPr>
          <w:rFonts w:hint="default" w:ascii="仿宋_GB2312" w:hAnsi="微软雅黑" w:eastAsia="仿宋_GB2312" w:cs="仿宋_GB2312"/>
          <w:i w:val="0"/>
          <w:iCs w:val="0"/>
          <w:caps w:val="0"/>
          <w:color w:val="333333"/>
          <w:spacing w:val="0"/>
          <w:sz w:val="28"/>
          <w:szCs w:val="28"/>
          <w:bdr w:val="none" w:color="auto" w:sz="0" w:space="0"/>
          <w:shd w:val="clear" w:fill="FFFFFF"/>
        </w:rPr>
        <w:t>年</w:t>
      </w:r>
      <w:r>
        <w:rPr>
          <w:rFonts w:hint="default" w:ascii="Times New Roman" w:hAnsi="Times New Roman" w:eastAsia="微软雅黑" w:cs="Times New Roman"/>
          <w:i w:val="0"/>
          <w:iCs w:val="0"/>
          <w:caps w:val="0"/>
          <w:color w:val="333333"/>
          <w:spacing w:val="0"/>
          <w:sz w:val="28"/>
          <w:szCs w:val="28"/>
          <w:bdr w:val="none" w:color="auto" w:sz="0" w:space="0"/>
          <w:shd w:val="clear" w:fill="FFFFFF"/>
        </w:rPr>
        <w:t>4</w:t>
      </w:r>
      <w:r>
        <w:rPr>
          <w:rFonts w:hint="default" w:ascii="仿宋_GB2312" w:hAnsi="微软雅黑" w:eastAsia="仿宋_GB2312" w:cs="仿宋_GB2312"/>
          <w:i w:val="0"/>
          <w:iCs w:val="0"/>
          <w:caps w:val="0"/>
          <w:color w:val="333333"/>
          <w:spacing w:val="0"/>
          <w:sz w:val="28"/>
          <w:szCs w:val="28"/>
          <w:bdr w:val="none" w:color="auto" w:sz="0" w:space="0"/>
          <w:shd w:val="clear" w:fill="FFFFFF"/>
        </w:rPr>
        <w:t>月</w:t>
      </w:r>
      <w:r>
        <w:rPr>
          <w:rFonts w:hint="default" w:ascii="Times New Roman" w:hAnsi="Times New Roman" w:eastAsia="微软雅黑" w:cs="Times New Roman"/>
          <w:i w:val="0"/>
          <w:iCs w:val="0"/>
          <w:caps w:val="0"/>
          <w:color w:val="333333"/>
          <w:spacing w:val="0"/>
          <w:sz w:val="28"/>
          <w:szCs w:val="28"/>
          <w:bdr w:val="none" w:color="auto" w:sz="0" w:space="0"/>
          <w:shd w:val="clear" w:fill="FFFFFF"/>
        </w:rPr>
        <w:t>18</w:t>
      </w:r>
      <w:r>
        <w:rPr>
          <w:rFonts w:hint="default" w:ascii="仿宋_GB2312" w:hAnsi="微软雅黑" w:eastAsia="仿宋_GB2312" w:cs="仿宋_GB2312"/>
          <w:i w:val="0"/>
          <w:iCs w:val="0"/>
          <w:caps w:val="0"/>
          <w:color w:val="333333"/>
          <w:spacing w:val="0"/>
          <w:sz w:val="28"/>
          <w:szCs w:val="28"/>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94D5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2023-04-18T14:03:50Z</dcterms:created>
  <dc:creator>Administrator</dc:creator>
  <cp:lastModifiedBy>王英</cp:lastModifiedBy>
  <dcterms:modified xsi:type="dcterms:W3CDTF">2023-04-18T14:04:04Z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C614335A90864BDF9006FED5388D17DC</vt:lpwstr>
  </property>
</Properties>
</file>