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4" w:lineRule="atLeast"/>
        <w:ind w:left="0" w:right="0"/>
        <w:jc w:val="center"/>
        <w:rPr>
          <w:sz w:val="24"/>
          <w:szCs w:val="24"/>
        </w:rPr>
      </w:pPr>
      <w:bookmarkStart w:id="0" w:name="_GoBack"/>
      <w:r>
        <w:rPr>
          <w:i w:val="0"/>
          <w:iCs w:val="0"/>
          <w:caps w:val="0"/>
          <w:color w:val="333333"/>
          <w:spacing w:val="0"/>
          <w:sz w:val="24"/>
          <w:szCs w:val="24"/>
          <w:bdr w:val="none" w:color="auto" w:sz="0" w:space="0"/>
          <w:shd w:val="clear" w:fill="FFFFFF"/>
        </w:rPr>
        <w:t>非常规油气科学技术研究院2023年接收硕士研究生调剂申请的通知暨硕士研究生招生调剂工作细则</w:t>
      </w:r>
    </w:p>
    <w:bookmarkEnd w:id="0"/>
    <w:p>
      <w:pPr>
        <w:keepNext w:val="0"/>
        <w:keepLines w:val="0"/>
        <w:widowControl/>
        <w:suppressLineNumbers w:val="0"/>
        <w:pBdr>
          <w:top w:val="single" w:color="EBEBEB" w:sz="4" w:space="5"/>
          <w:left w:val="none" w:color="auto" w:sz="0" w:space="0"/>
          <w:bottom w:val="single" w:color="EBEBEB" w:sz="4" w:space="5"/>
          <w:right w:val="none" w:color="auto" w:sz="0" w:space="0"/>
        </w:pBdr>
        <w:shd w:val="clear" w:fill="FFFFFF"/>
        <w:spacing w:before="0" w:beforeAutospacing="0" w:after="200" w:afterAutospacing="0" w:line="15" w:lineRule="atLeast"/>
        <w:ind w:left="0" w:right="0" w:firstLine="0"/>
        <w:jc w:val="center"/>
        <w:rPr>
          <w:rFonts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999999"/>
          <w:spacing w:val="0"/>
          <w:kern w:val="0"/>
          <w:sz w:val="15"/>
          <w:szCs w:val="15"/>
          <w:bdr w:val="none" w:color="auto" w:sz="0" w:space="0"/>
          <w:shd w:val="clear" w:fill="FFFFFF"/>
          <w:lang w:val="en-US" w:eastAsia="zh-CN" w:bidi="ar"/>
        </w:rPr>
        <w:t>日期:2023-04-03 </w:t>
      </w:r>
      <w:r>
        <w:rPr>
          <w:rFonts w:hint="eastAsia" w:ascii="微软雅黑" w:hAnsi="微软雅黑" w:eastAsia="微软雅黑" w:cs="微软雅黑"/>
          <w:b w:val="0"/>
          <w:bCs w:val="0"/>
          <w:i w:val="0"/>
          <w:iCs w:val="0"/>
          <w:caps w:val="0"/>
          <w:color w:val="CCCCCC"/>
          <w:spacing w:val="0"/>
          <w:kern w:val="0"/>
          <w:sz w:val="15"/>
          <w:szCs w:val="15"/>
          <w:bdr w:val="none" w:color="auto" w:sz="0" w:space="0"/>
          <w:shd w:val="clear" w:fill="FFFFFF"/>
          <w:lang w:val="en-US" w:eastAsia="zh-CN" w:bidi="ar"/>
        </w:rPr>
        <w:t>|</w:t>
      </w:r>
      <w:r>
        <w:rPr>
          <w:rFonts w:hint="eastAsia" w:ascii="微软雅黑" w:hAnsi="微软雅黑" w:eastAsia="微软雅黑" w:cs="微软雅黑"/>
          <w:i w:val="0"/>
          <w:iCs w:val="0"/>
          <w:caps w:val="0"/>
          <w:color w:val="333333"/>
          <w:spacing w:val="0"/>
          <w:kern w:val="0"/>
          <w:sz w:val="15"/>
          <w:szCs w:val="15"/>
          <w:bdr w:val="none" w:color="auto" w:sz="0" w:space="0"/>
          <w:shd w:val="clear" w:fill="FFFFFF"/>
          <w:lang w:val="en-US" w:eastAsia="zh-CN" w:bidi="ar"/>
        </w:rPr>
        <w:t> </w:t>
      </w:r>
      <w:r>
        <w:rPr>
          <w:rFonts w:hint="eastAsia" w:ascii="微软雅黑" w:hAnsi="微软雅黑" w:eastAsia="微软雅黑" w:cs="微软雅黑"/>
          <w:i w:val="0"/>
          <w:iCs w:val="0"/>
          <w:caps w:val="0"/>
          <w:color w:val="999999"/>
          <w:spacing w:val="0"/>
          <w:kern w:val="0"/>
          <w:sz w:val="15"/>
          <w:szCs w:val="15"/>
          <w:bdr w:val="none" w:color="auto" w:sz="0" w:space="0"/>
          <w:shd w:val="clear" w:fill="FFFFFF"/>
          <w:lang w:val="en-US" w:eastAsia="zh-CN" w:bidi="ar"/>
        </w:rPr>
        <w:t>9476</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根据中国石油大学（北京）《2023年硕士研究生招生考试复试及录取工作方案》的要求制定本细则，本细则适用于全日制学术型硕士研究生和全日制专业型硕士研究生的调剂考生。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一、接收调剂考生的基本要求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1.符合调入专业的报考条件；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2.初试成绩符合第一志愿报考专业在调入地区的全国初试成绩基本要求；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3.调入专业与第一志愿报考专业相同或相近，且在同一学科门类范围内；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4.初试科目与调入专业初试科目相同或相近，其中初试全国统一命题科目应与调入专业全国统一命题科目相同；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5.不接收“少数民族高层次骨干人才计划”、“退役大学生士兵”专项和享受少数民族照顾政策的调剂生。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二、接收调剂的专业、分数线与缺额情况</w:t>
      </w:r>
    </w:p>
    <w:tbl>
      <w:tblPr>
        <w:tblW w:w="9780"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300"/>
        <w:gridCol w:w="931"/>
        <w:gridCol w:w="3073"/>
        <w:gridCol w:w="561"/>
        <w:gridCol w:w="561"/>
        <w:gridCol w:w="931"/>
        <w:gridCol w:w="931"/>
        <w:gridCol w:w="561"/>
        <w:gridCol w:w="93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3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专业类型</w:t>
            </w:r>
          </w:p>
        </w:tc>
        <w:tc>
          <w:tcPr>
            <w:tcW w:w="9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专业代码</w:t>
            </w:r>
          </w:p>
        </w:tc>
        <w:tc>
          <w:tcPr>
            <w:tcW w:w="307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专业名称</w:t>
            </w:r>
          </w:p>
        </w:tc>
        <w:tc>
          <w:tcPr>
            <w:tcW w:w="5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政治</w:t>
            </w:r>
          </w:p>
        </w:tc>
        <w:tc>
          <w:tcPr>
            <w:tcW w:w="5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英语</w:t>
            </w:r>
          </w:p>
        </w:tc>
        <w:tc>
          <w:tcPr>
            <w:tcW w:w="9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业务课一</w:t>
            </w:r>
          </w:p>
        </w:tc>
        <w:tc>
          <w:tcPr>
            <w:tcW w:w="9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业务课二</w:t>
            </w:r>
          </w:p>
        </w:tc>
        <w:tc>
          <w:tcPr>
            <w:tcW w:w="5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总分</w:t>
            </w:r>
          </w:p>
        </w:tc>
        <w:tc>
          <w:tcPr>
            <w:tcW w:w="9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Style w:val="7"/>
                <w:rFonts w:hint="eastAsia" w:ascii="微软雅黑" w:hAnsi="微软雅黑" w:eastAsia="微软雅黑" w:cs="微软雅黑"/>
                <w:color w:val="000000"/>
                <w:sz w:val="14"/>
                <w:szCs w:val="14"/>
                <w:bdr w:val="none" w:color="auto" w:sz="0" w:space="0"/>
                <w:shd w:val="clear" w:fill="FFFFFF"/>
              </w:rPr>
              <w:t>缺额人数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30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shd w:val="clear" w:fill="FFFFFF"/>
              </w:rPr>
              <w:t>学术型</w:t>
            </w:r>
          </w:p>
        </w:tc>
        <w:tc>
          <w:tcPr>
            <w:tcW w:w="9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shd w:val="clear" w:fill="FFFFFF"/>
              </w:rPr>
              <w:t>070800</w:t>
            </w:r>
          </w:p>
        </w:tc>
        <w:tc>
          <w:tcPr>
            <w:tcW w:w="307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地球物理学</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38</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38</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57</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57</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279</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30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jc w:val="center"/>
              <w:rPr>
                <w:rFonts w:hint="eastAsia" w:ascii="宋体"/>
                <w:sz w:val="24"/>
                <w:szCs w:val="24"/>
              </w:rPr>
            </w:pPr>
          </w:p>
        </w:tc>
        <w:tc>
          <w:tcPr>
            <w:tcW w:w="9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shd w:val="clear" w:fill="FFFFFF"/>
              </w:rPr>
              <w:t>081800</w:t>
            </w:r>
          </w:p>
        </w:tc>
        <w:tc>
          <w:tcPr>
            <w:tcW w:w="307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地质资源与地质工程</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35</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35</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53</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53</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260</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30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jc w:val="center"/>
              <w:rPr>
                <w:rFonts w:hint="eastAsia" w:ascii="宋体"/>
                <w:sz w:val="24"/>
                <w:szCs w:val="24"/>
              </w:rPr>
            </w:pPr>
          </w:p>
        </w:tc>
        <w:tc>
          <w:tcPr>
            <w:tcW w:w="9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shd w:val="clear" w:fill="FFFFFF"/>
              </w:rPr>
              <w:t>082000</w:t>
            </w:r>
          </w:p>
        </w:tc>
        <w:tc>
          <w:tcPr>
            <w:tcW w:w="307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石油与天然气工程</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38</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38</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57</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57</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290</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21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30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jc w:val="center"/>
              <w:rPr>
                <w:rFonts w:hint="eastAsia" w:ascii="宋体"/>
                <w:sz w:val="24"/>
                <w:szCs w:val="24"/>
              </w:rPr>
            </w:pPr>
          </w:p>
        </w:tc>
        <w:tc>
          <w:tcPr>
            <w:tcW w:w="9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shd w:val="clear" w:fill="FFFFFF"/>
              </w:rPr>
              <w:t>081700</w:t>
            </w:r>
          </w:p>
        </w:tc>
        <w:tc>
          <w:tcPr>
            <w:tcW w:w="307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化学工程与技术</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38</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38</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57</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57</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300</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10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0" w:hRule="atLeast"/>
          <w:jc w:val="center"/>
        </w:trPr>
        <w:tc>
          <w:tcPr>
            <w:tcW w:w="130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shd w:val="clear" w:fill="FFFFFF"/>
              </w:rPr>
              <w:t>全日制专业型</w:t>
            </w:r>
          </w:p>
        </w:tc>
        <w:tc>
          <w:tcPr>
            <w:tcW w:w="9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shd w:val="clear" w:fill="FFFFFF"/>
              </w:rPr>
              <w:t>085703</w:t>
            </w:r>
          </w:p>
        </w:tc>
        <w:tc>
          <w:tcPr>
            <w:tcW w:w="307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地质工程-01油气勘探地质工程</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38</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38</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57</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57</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273</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11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30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jc w:val="center"/>
              <w:rPr>
                <w:rFonts w:hint="eastAsia" w:ascii="宋体"/>
                <w:sz w:val="24"/>
                <w:szCs w:val="24"/>
              </w:rPr>
            </w:pPr>
          </w:p>
        </w:tc>
        <w:tc>
          <w:tcPr>
            <w:tcW w:w="9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shd w:val="clear" w:fill="FFFFFF"/>
              </w:rPr>
              <w:t>085703</w:t>
            </w:r>
          </w:p>
        </w:tc>
        <w:tc>
          <w:tcPr>
            <w:tcW w:w="307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地质工程-05油气地球物理勘探工程</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38</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38</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57</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57</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273</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130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jc w:val="center"/>
              <w:rPr>
                <w:rFonts w:hint="eastAsia" w:ascii="宋体"/>
                <w:sz w:val="24"/>
                <w:szCs w:val="24"/>
              </w:rPr>
            </w:pPr>
          </w:p>
        </w:tc>
        <w:tc>
          <w:tcPr>
            <w:tcW w:w="9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shd w:val="clear" w:fill="FFFFFF"/>
              </w:rPr>
              <w:t>085706</w:t>
            </w:r>
          </w:p>
        </w:tc>
        <w:tc>
          <w:tcPr>
            <w:tcW w:w="307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石油与天然气工程</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38</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38</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57</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57</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290</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34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130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jc w:val="center"/>
              <w:rPr>
                <w:rFonts w:hint="eastAsia" w:ascii="宋体"/>
                <w:sz w:val="24"/>
                <w:szCs w:val="24"/>
              </w:rPr>
            </w:pPr>
          </w:p>
        </w:tc>
        <w:tc>
          <w:tcPr>
            <w:tcW w:w="9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shd w:val="clear" w:fill="FFFFFF"/>
              </w:rPr>
              <w:t>085602</w:t>
            </w:r>
          </w:p>
        </w:tc>
        <w:tc>
          <w:tcPr>
            <w:tcW w:w="30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shd w:val="clear" w:fill="FFFFFF"/>
              </w:rPr>
              <w:t>化学工程</w:t>
            </w:r>
          </w:p>
        </w:tc>
        <w:tc>
          <w:tcPr>
            <w:tcW w:w="5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shd w:val="clear" w:fill="FFFFFF"/>
              </w:rPr>
              <w:t>38</w:t>
            </w:r>
          </w:p>
        </w:tc>
        <w:tc>
          <w:tcPr>
            <w:tcW w:w="5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shd w:val="clear" w:fill="FFFFFF"/>
              </w:rPr>
              <w:t>38</w:t>
            </w:r>
          </w:p>
        </w:tc>
        <w:tc>
          <w:tcPr>
            <w:tcW w:w="9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shd w:val="clear" w:fill="FFFFFF"/>
              </w:rPr>
              <w:t>57</w:t>
            </w:r>
          </w:p>
        </w:tc>
        <w:tc>
          <w:tcPr>
            <w:tcW w:w="9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shd w:val="clear" w:fill="FFFFFF"/>
              </w:rPr>
              <w:t>57</w:t>
            </w:r>
          </w:p>
        </w:tc>
        <w:tc>
          <w:tcPr>
            <w:tcW w:w="56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290</w:t>
            </w:r>
          </w:p>
        </w:tc>
        <w:tc>
          <w:tcPr>
            <w:tcW w:w="93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15" w:lineRule="atLeast"/>
              <w:ind w:left="0" w:right="0"/>
              <w:jc w:val="center"/>
            </w:pPr>
            <w:r>
              <w:rPr>
                <w:rFonts w:hint="eastAsia" w:ascii="微软雅黑" w:hAnsi="微软雅黑" w:eastAsia="微软雅黑" w:cs="微软雅黑"/>
                <w:color w:val="000000"/>
                <w:sz w:val="14"/>
                <w:szCs w:val="14"/>
                <w:bdr w:val="none" w:color="auto" w:sz="0" w:space="0"/>
              </w:rPr>
              <w:t>7</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jc w:val="both"/>
      </w:pPr>
      <w:r>
        <w:rPr>
          <w:rFonts w:hint="eastAsia" w:ascii="微软雅黑" w:hAnsi="微软雅黑" w:eastAsia="微软雅黑" w:cs="微软雅黑"/>
          <w:i w:val="0"/>
          <w:iCs w:val="0"/>
          <w:caps w:val="0"/>
          <w:color w:val="000000"/>
          <w:spacing w:val="0"/>
          <w:sz w:val="14"/>
          <w:szCs w:val="14"/>
          <w:bdr w:val="none" w:color="auto" w:sz="0" w:space="0"/>
          <w:shd w:val="clear" w:fill="FFFFFF"/>
        </w:rPr>
        <w:t>      备注：因082000石油与天然气工程专业硕士推免生1人放弃拟录取资格，统考拟招生人数增加1人。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三、接受调剂考生的要求及筛选原则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根据考生的一志愿报考专业、本科毕业专业、考试科目及初试成绩等对申请调剂考生进行筛选，具体筛选优先级如下：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第一优先级：一志愿报考专业属于第一级、本科毕业专业属于第一级；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第二优先级：一志愿报考专业属于第一级、本科毕业专业属于第二级；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第三优先级：一志愿报考专业属于第二级、本科毕业专业属于第一级；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第四优先级：一志愿报考专业属于第二级、本科毕业专业属于第二级；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第五优先级：一志愿报考专业属于第三级、本科毕业专业属于第一级；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第六优先级：一志愿报考专业属于第三级、本科毕业专业属于第二级。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同一优先级别内按初试成绩分数高低排序，直至达到招生专业的复试人数要求为止。具体筛选原则如下：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0"/>
        <w:jc w:val="center"/>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非常规院2023年接收调剂专业筛选原则表</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498"/>
        <w:gridCol w:w="1396"/>
        <w:gridCol w:w="980"/>
        <w:gridCol w:w="1058"/>
        <w:gridCol w:w="1094"/>
        <w:gridCol w:w="1100"/>
        <w:gridCol w:w="1115"/>
        <w:gridCol w:w="1205"/>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50" w:hRule="atLeast"/>
          <w:jc w:val="center"/>
        </w:trPr>
        <w:tc>
          <w:tcPr>
            <w:tcW w:w="620" w:type="dxa"/>
            <w:vMerge w:val="restart"/>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Style w:val="7"/>
                <w:rFonts w:hint="eastAsia" w:ascii="微软雅黑" w:hAnsi="微软雅黑" w:eastAsia="微软雅黑" w:cs="微软雅黑"/>
                <w:color w:val="000000"/>
                <w:sz w:val="14"/>
                <w:szCs w:val="14"/>
                <w:bdr w:val="none" w:color="auto" w:sz="0" w:space="0"/>
              </w:rPr>
              <w:t>接收调剂专业类型</w:t>
            </w:r>
          </w:p>
        </w:tc>
        <w:tc>
          <w:tcPr>
            <w:tcW w:w="1113" w:type="dxa"/>
            <w:vMerge w:val="restart"/>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Style w:val="7"/>
                <w:rFonts w:hint="eastAsia" w:ascii="微软雅黑" w:hAnsi="微软雅黑" w:eastAsia="微软雅黑" w:cs="微软雅黑"/>
                <w:color w:val="000000"/>
                <w:sz w:val="14"/>
                <w:szCs w:val="14"/>
                <w:bdr w:val="none" w:color="auto" w:sz="0" w:space="0"/>
              </w:rPr>
              <w:t>接收调剂专业代码及名称</w:t>
            </w:r>
          </w:p>
        </w:tc>
        <w:tc>
          <w:tcPr>
            <w:tcW w:w="533" w:type="dxa"/>
            <w:vMerge w:val="restart"/>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Style w:val="7"/>
                <w:rFonts w:hint="eastAsia" w:ascii="微软雅黑" w:hAnsi="微软雅黑" w:eastAsia="微软雅黑" w:cs="微软雅黑"/>
                <w:color w:val="000000"/>
                <w:sz w:val="14"/>
                <w:szCs w:val="14"/>
                <w:bdr w:val="none" w:color="auto" w:sz="0" w:space="0"/>
              </w:rPr>
              <w:t>一志愿报考类型</w:t>
            </w:r>
          </w:p>
        </w:tc>
        <w:tc>
          <w:tcPr>
            <w:tcW w:w="2890" w:type="dxa"/>
            <w:gridSpan w:val="3"/>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Style w:val="7"/>
                <w:rFonts w:hint="eastAsia" w:ascii="微软雅黑" w:hAnsi="微软雅黑" w:eastAsia="微软雅黑" w:cs="微软雅黑"/>
                <w:color w:val="000000"/>
                <w:sz w:val="14"/>
                <w:szCs w:val="14"/>
                <w:bdr w:val="none" w:color="auto" w:sz="0" w:space="0"/>
              </w:rPr>
              <w:t>一志愿报考专业</w:t>
            </w:r>
          </w:p>
        </w:tc>
        <w:tc>
          <w:tcPr>
            <w:tcW w:w="2353" w:type="dxa"/>
            <w:gridSpan w:val="2"/>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Style w:val="7"/>
                <w:rFonts w:hint="eastAsia" w:ascii="微软雅黑" w:hAnsi="微软雅黑" w:eastAsia="微软雅黑" w:cs="微软雅黑"/>
                <w:color w:val="000000"/>
                <w:sz w:val="14"/>
                <w:szCs w:val="14"/>
                <w:bdr w:val="none" w:color="auto" w:sz="0" w:space="0"/>
              </w:rPr>
              <w:t>本科毕业专业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50" w:hRule="atLeast"/>
          <w:jc w:val="center"/>
        </w:trPr>
        <w:tc>
          <w:tcPr>
            <w:tcW w:w="620" w:type="dxa"/>
            <w:vMerge w:val="continue"/>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jc w:val="center"/>
              <w:rPr>
                <w:rFonts w:hint="eastAsia" w:ascii="宋体"/>
                <w:sz w:val="24"/>
                <w:szCs w:val="24"/>
              </w:rPr>
            </w:pPr>
          </w:p>
        </w:tc>
        <w:tc>
          <w:tcPr>
            <w:tcW w:w="1113" w:type="dxa"/>
            <w:vMerge w:val="continue"/>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jc w:val="center"/>
              <w:rPr>
                <w:rFonts w:hint="eastAsia" w:ascii="宋体"/>
                <w:sz w:val="24"/>
                <w:szCs w:val="24"/>
              </w:rPr>
            </w:pPr>
          </w:p>
        </w:tc>
        <w:tc>
          <w:tcPr>
            <w:tcW w:w="533" w:type="dxa"/>
            <w:vMerge w:val="continue"/>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jc w:val="center"/>
              <w:rPr>
                <w:rFonts w:hint="eastAsia" w:ascii="宋体"/>
                <w:sz w:val="24"/>
                <w:szCs w:val="24"/>
              </w:rPr>
            </w:pPr>
          </w:p>
        </w:tc>
        <w:tc>
          <w:tcPr>
            <w:tcW w:w="9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Style w:val="7"/>
                <w:rFonts w:hint="eastAsia" w:ascii="微软雅黑" w:hAnsi="微软雅黑" w:eastAsia="微软雅黑" w:cs="微软雅黑"/>
                <w:color w:val="000000"/>
                <w:sz w:val="14"/>
                <w:szCs w:val="14"/>
                <w:bdr w:val="none" w:color="auto" w:sz="0" w:space="0"/>
              </w:rPr>
              <w:t>第一级</w:t>
            </w:r>
          </w:p>
        </w:tc>
        <w:tc>
          <w:tcPr>
            <w:tcW w:w="44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Style w:val="7"/>
                <w:rFonts w:hint="eastAsia" w:ascii="微软雅黑" w:hAnsi="微软雅黑" w:eastAsia="微软雅黑" w:cs="微软雅黑"/>
                <w:color w:val="000000"/>
                <w:sz w:val="14"/>
                <w:szCs w:val="14"/>
                <w:bdr w:val="none" w:color="auto" w:sz="0" w:space="0"/>
              </w:rPr>
              <w:t>第二级</w:t>
            </w:r>
          </w:p>
        </w:tc>
        <w:tc>
          <w:tcPr>
            <w:tcW w:w="233"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Style w:val="7"/>
                <w:rFonts w:hint="eastAsia" w:ascii="微软雅黑" w:hAnsi="微软雅黑" w:eastAsia="微软雅黑" w:cs="微软雅黑"/>
                <w:color w:val="000000"/>
                <w:sz w:val="14"/>
                <w:szCs w:val="14"/>
                <w:bdr w:val="none" w:color="auto" w:sz="0" w:space="0"/>
              </w:rPr>
              <w:t>第三级</w:t>
            </w:r>
          </w:p>
        </w:tc>
        <w:tc>
          <w:tcPr>
            <w:tcW w:w="1093"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Style w:val="7"/>
                <w:rFonts w:hint="eastAsia" w:ascii="微软雅黑" w:hAnsi="微软雅黑" w:eastAsia="微软雅黑" w:cs="微软雅黑"/>
                <w:color w:val="000000"/>
                <w:sz w:val="14"/>
                <w:szCs w:val="14"/>
                <w:bdr w:val="none" w:color="auto" w:sz="0" w:space="0"/>
              </w:rPr>
              <w:t>第一级</w:t>
            </w:r>
          </w:p>
        </w:tc>
        <w:tc>
          <w:tcPr>
            <w:tcW w:w="1803"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Style w:val="7"/>
                <w:rFonts w:hint="eastAsia" w:ascii="微软雅黑" w:hAnsi="微软雅黑" w:eastAsia="微软雅黑" w:cs="微软雅黑"/>
                <w:color w:val="000000"/>
                <w:sz w:val="14"/>
                <w:szCs w:val="14"/>
                <w:bdr w:val="none" w:color="auto" w:sz="0" w:space="0"/>
              </w:rPr>
              <w:t>第二级</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64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both"/>
            </w:pPr>
            <w:r>
              <w:rPr>
                <w:rFonts w:hint="eastAsia" w:ascii="微软雅黑" w:hAnsi="微软雅黑" w:eastAsia="微软雅黑" w:cs="微软雅黑"/>
                <w:color w:val="000000"/>
                <w:sz w:val="14"/>
                <w:szCs w:val="14"/>
                <w:bdr w:val="none" w:color="auto" w:sz="0" w:space="0"/>
              </w:rPr>
              <w:t>学术型</w:t>
            </w:r>
          </w:p>
        </w:tc>
        <w:tc>
          <w:tcPr>
            <w:tcW w:w="111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jc w:val="center"/>
            </w:pPr>
            <w:r>
              <w:rPr>
                <w:rFonts w:hint="eastAsia" w:ascii="微软雅黑" w:hAnsi="微软雅黑" w:eastAsia="微软雅黑" w:cs="微软雅黑"/>
                <w:color w:val="000000"/>
                <w:sz w:val="14"/>
                <w:szCs w:val="14"/>
                <w:bdr w:val="none" w:color="auto" w:sz="0" w:space="0"/>
              </w:rPr>
              <w:t>070800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Fonts w:hint="eastAsia" w:ascii="微软雅黑" w:hAnsi="微软雅黑" w:eastAsia="微软雅黑" w:cs="微软雅黑"/>
                <w:color w:val="000000"/>
                <w:sz w:val="14"/>
                <w:szCs w:val="14"/>
                <w:bdr w:val="none" w:color="auto" w:sz="0" w:space="0"/>
              </w:rPr>
              <w:t>地球物理学</w:t>
            </w:r>
          </w:p>
        </w:tc>
        <w:tc>
          <w:tcPr>
            <w:tcW w:w="53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Fonts w:hint="eastAsia" w:ascii="微软雅黑" w:hAnsi="微软雅黑" w:eastAsia="微软雅黑" w:cs="微软雅黑"/>
                <w:color w:val="000000"/>
                <w:sz w:val="14"/>
                <w:szCs w:val="14"/>
                <w:bdr w:val="none" w:color="auto" w:sz="0" w:space="0"/>
              </w:rPr>
              <w:t>学术型</w:t>
            </w:r>
          </w:p>
        </w:tc>
        <w:tc>
          <w:tcPr>
            <w:tcW w:w="103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070800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地球物理学</w:t>
            </w:r>
          </w:p>
        </w:tc>
        <w:tc>
          <w:tcPr>
            <w:tcW w:w="123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070100数学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070900地质学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070200物理学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077500计算机科学与技术</w:t>
            </w:r>
          </w:p>
        </w:tc>
        <w:tc>
          <w:tcPr>
            <w:tcW w:w="109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keepNext w:val="0"/>
              <w:keepLines w:val="0"/>
              <w:widowControl/>
              <w:suppressLineNumbers w:val="0"/>
              <w:spacing w:before="0" w:beforeAutospacing="0" w:after="0" w:afterAutospacing="0"/>
              <w:ind w:left="0" w:right="0"/>
              <w:jc w:val="left"/>
            </w:pPr>
          </w:p>
        </w:tc>
        <w:tc>
          <w:tcPr>
            <w:tcW w:w="153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textAlignment w:val="center"/>
            </w:pPr>
            <w:r>
              <w:rPr>
                <w:rFonts w:hint="eastAsia" w:ascii="微软雅黑" w:hAnsi="微软雅黑" w:eastAsia="微软雅黑" w:cs="微软雅黑"/>
                <w:color w:val="000000"/>
                <w:sz w:val="14"/>
                <w:szCs w:val="14"/>
                <w:bdr w:val="none" w:color="auto" w:sz="0" w:space="0"/>
              </w:rPr>
              <w:t>地球物理学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textAlignment w:val="center"/>
            </w:pPr>
            <w:r>
              <w:rPr>
                <w:rFonts w:hint="eastAsia" w:ascii="微软雅黑" w:hAnsi="微软雅黑" w:eastAsia="微软雅黑" w:cs="微软雅黑"/>
                <w:color w:val="000000"/>
                <w:sz w:val="14"/>
                <w:szCs w:val="14"/>
                <w:bdr w:val="none" w:color="auto" w:sz="0" w:space="0"/>
              </w:rPr>
              <w:t>物理学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textAlignment w:val="center"/>
            </w:pPr>
            <w:r>
              <w:rPr>
                <w:rFonts w:hint="eastAsia" w:ascii="微软雅黑" w:hAnsi="微软雅黑" w:eastAsia="微软雅黑" w:cs="微软雅黑"/>
                <w:color w:val="000000"/>
                <w:sz w:val="14"/>
                <w:szCs w:val="14"/>
                <w:bdr w:val="none" w:color="auto" w:sz="0" w:space="0"/>
              </w:rPr>
              <w:t>地质资源与地质工程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textAlignment w:val="center"/>
            </w:pPr>
            <w:r>
              <w:rPr>
                <w:rFonts w:hint="eastAsia" w:ascii="微软雅黑" w:hAnsi="微软雅黑" w:eastAsia="微软雅黑" w:cs="微软雅黑"/>
                <w:color w:val="000000"/>
                <w:sz w:val="14"/>
                <w:szCs w:val="14"/>
                <w:bdr w:val="none" w:color="auto" w:sz="0" w:space="0"/>
              </w:rPr>
              <w:t>地质工程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textAlignment w:val="center"/>
            </w:pPr>
            <w:r>
              <w:rPr>
                <w:rFonts w:hint="eastAsia" w:ascii="微软雅黑" w:hAnsi="微软雅黑" w:eastAsia="微软雅黑" w:cs="微软雅黑"/>
                <w:color w:val="000000"/>
                <w:sz w:val="14"/>
                <w:szCs w:val="14"/>
                <w:bdr w:val="none" w:color="auto" w:sz="0" w:space="0"/>
              </w:rPr>
              <w:t>空间科学与技术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textAlignment w:val="center"/>
            </w:pPr>
            <w:r>
              <w:rPr>
                <w:rFonts w:hint="eastAsia" w:ascii="微软雅黑" w:hAnsi="微软雅黑" w:eastAsia="微软雅黑" w:cs="微软雅黑"/>
                <w:color w:val="000000"/>
                <w:sz w:val="14"/>
                <w:szCs w:val="14"/>
                <w:bdr w:val="none" w:color="auto" w:sz="0" w:space="0"/>
              </w:rPr>
              <w:t>数学与应用数学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textAlignment w:val="center"/>
            </w:pPr>
            <w:r>
              <w:rPr>
                <w:rFonts w:hint="eastAsia" w:ascii="微软雅黑" w:hAnsi="微软雅黑" w:eastAsia="微软雅黑" w:cs="微软雅黑"/>
                <w:color w:val="000000"/>
                <w:sz w:val="14"/>
                <w:szCs w:val="14"/>
                <w:bdr w:val="none" w:color="auto" w:sz="0" w:space="0"/>
              </w:rPr>
              <w:t>信息与计算科学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textAlignment w:val="center"/>
            </w:pPr>
            <w:r>
              <w:rPr>
                <w:rFonts w:hint="eastAsia" w:ascii="微软雅黑" w:hAnsi="微软雅黑" w:eastAsia="微软雅黑" w:cs="微软雅黑"/>
                <w:color w:val="000000"/>
                <w:sz w:val="14"/>
                <w:szCs w:val="14"/>
                <w:bdr w:val="none" w:color="auto" w:sz="0" w:space="0"/>
              </w:rPr>
              <w:t>数理基础科学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textAlignment w:val="center"/>
            </w:pPr>
            <w:r>
              <w:rPr>
                <w:rFonts w:hint="eastAsia" w:ascii="微软雅黑" w:hAnsi="微软雅黑" w:eastAsia="微软雅黑" w:cs="微软雅黑"/>
                <w:color w:val="000000"/>
                <w:sz w:val="14"/>
                <w:szCs w:val="14"/>
                <w:bdr w:val="none" w:color="auto" w:sz="0" w:space="0"/>
              </w:rPr>
              <w:t>数据计算及应用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both"/>
            </w:pPr>
            <w:r>
              <w:rPr>
                <w:rFonts w:hint="eastAsia" w:ascii="微软雅黑" w:hAnsi="微软雅黑" w:eastAsia="微软雅黑" w:cs="微软雅黑"/>
                <w:color w:val="000000"/>
                <w:sz w:val="14"/>
                <w:szCs w:val="14"/>
                <w:bdr w:val="none" w:color="auto" w:sz="0" w:space="0"/>
              </w:rPr>
              <w:t>计算机科学与技术</w:t>
            </w:r>
          </w:p>
        </w:tc>
        <w:tc>
          <w:tcPr>
            <w:tcW w:w="60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260" w:hRule="atLeast"/>
          <w:jc w:val="center"/>
        </w:trPr>
        <w:tc>
          <w:tcPr>
            <w:tcW w:w="64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18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jc w:val="center"/>
            </w:pPr>
            <w:r>
              <w:rPr>
                <w:rFonts w:hint="eastAsia" w:ascii="微软雅黑" w:hAnsi="微软雅黑" w:eastAsia="微软雅黑" w:cs="微软雅黑"/>
                <w:color w:val="000000"/>
                <w:sz w:val="14"/>
                <w:szCs w:val="14"/>
                <w:bdr w:val="none" w:color="auto" w:sz="0" w:space="0"/>
              </w:rPr>
              <w:t>081800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jc w:val="center"/>
            </w:pPr>
            <w:r>
              <w:rPr>
                <w:rFonts w:hint="eastAsia" w:ascii="微软雅黑" w:hAnsi="微软雅黑" w:eastAsia="微软雅黑" w:cs="微软雅黑"/>
                <w:color w:val="000000"/>
                <w:sz w:val="14"/>
                <w:szCs w:val="14"/>
                <w:bdr w:val="none" w:color="auto" w:sz="0" w:space="0"/>
              </w:rPr>
              <w:t>地质资源与地质工程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Fonts w:hint="eastAsia" w:ascii="微软雅黑" w:hAnsi="微软雅黑" w:eastAsia="微软雅黑" w:cs="微软雅黑"/>
                <w:color w:val="000000"/>
                <w:sz w:val="14"/>
                <w:szCs w:val="14"/>
                <w:bdr w:val="none" w:color="auto" w:sz="0" w:space="0"/>
              </w:rPr>
              <w:t>（报考地层微生物资源与应用研究中心的考生重点考察生物（微生物）基础背景和能力）</w:t>
            </w:r>
          </w:p>
        </w:tc>
        <w:tc>
          <w:tcPr>
            <w:tcW w:w="134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Fonts w:hint="eastAsia" w:ascii="微软雅黑" w:hAnsi="微软雅黑" w:eastAsia="微软雅黑" w:cs="微软雅黑"/>
                <w:color w:val="000000"/>
                <w:sz w:val="14"/>
                <w:szCs w:val="14"/>
                <w:bdr w:val="none" w:color="auto" w:sz="0" w:space="0"/>
              </w:rPr>
              <w:t>学术型</w:t>
            </w:r>
          </w:p>
        </w:tc>
        <w:tc>
          <w:tcPr>
            <w:tcW w:w="127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081800地质资源与地质工程</w:t>
            </w:r>
          </w:p>
        </w:tc>
        <w:tc>
          <w:tcPr>
            <w:tcW w:w="125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081900矿业工程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082000石油与天然气工程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081400土木工程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080500材料科学与工程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081700化学工程与技术</w:t>
            </w:r>
          </w:p>
        </w:tc>
        <w:tc>
          <w:tcPr>
            <w:tcW w:w="130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085900土木水利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081500水利工程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083000环境科学与工程</w:t>
            </w:r>
          </w:p>
        </w:tc>
        <w:tc>
          <w:tcPr>
            <w:tcW w:w="98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地质资源与地质工程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资源勘查工程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勘查技术与工程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地质学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地球化学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水文与水资源工程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地下水科学与工程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材料科学与工程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土木工程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石油工程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岩土工程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食品科学与工程</w:t>
            </w:r>
          </w:p>
        </w:tc>
        <w:tc>
          <w:tcPr>
            <w:tcW w:w="164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地理信息科学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遥感科学与技术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地球物理学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采矿工程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环境工程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环境科学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生物工程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测绘工程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城市地下空间工程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矿物加工工程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64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18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jc w:val="center"/>
            </w:pPr>
            <w:r>
              <w:rPr>
                <w:rFonts w:hint="eastAsia" w:ascii="微软雅黑" w:hAnsi="微软雅黑" w:eastAsia="微软雅黑" w:cs="微软雅黑"/>
                <w:color w:val="000000"/>
                <w:sz w:val="14"/>
                <w:szCs w:val="14"/>
                <w:bdr w:val="none" w:color="auto" w:sz="0" w:space="0"/>
              </w:rPr>
              <w:t>082000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Fonts w:hint="eastAsia" w:ascii="微软雅黑" w:hAnsi="微软雅黑" w:eastAsia="微软雅黑" w:cs="微软雅黑"/>
                <w:color w:val="000000"/>
                <w:sz w:val="14"/>
                <w:szCs w:val="14"/>
                <w:bdr w:val="none" w:color="auto" w:sz="0" w:space="0"/>
              </w:rPr>
              <w:t>石油与天然气工程</w:t>
            </w:r>
          </w:p>
        </w:tc>
        <w:tc>
          <w:tcPr>
            <w:tcW w:w="134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Fonts w:hint="eastAsia" w:ascii="微软雅黑" w:hAnsi="微软雅黑" w:eastAsia="微软雅黑" w:cs="微软雅黑"/>
                <w:color w:val="000000"/>
                <w:sz w:val="14"/>
                <w:szCs w:val="14"/>
                <w:bdr w:val="none" w:color="auto" w:sz="0" w:space="0"/>
              </w:rPr>
              <w:t>学术型</w:t>
            </w:r>
          </w:p>
        </w:tc>
        <w:tc>
          <w:tcPr>
            <w:tcW w:w="127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082000石油与天然气工程（油气井、油气田开发、海洋油气方向）</w:t>
            </w:r>
          </w:p>
        </w:tc>
        <w:tc>
          <w:tcPr>
            <w:tcW w:w="125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081700化学工程与技术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082000石油与天然气工程（油气储运方向）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080100力学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080200机械工程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081200计算机科学与技术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081500水利工程（01水文学及水资源；02水力学及河流动力学）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081400土木工程（01岩土工程；02结构工程；06桥梁与隧道工程）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080700动力工程及工程热物理（01工程热物理；06化工过程机械）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081100控制科学与工程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083500软件工程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080500材料科学与工程</w:t>
            </w:r>
          </w:p>
        </w:tc>
        <w:tc>
          <w:tcPr>
            <w:tcW w:w="130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083700安全科学与工程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083000环境科学与工程</w:t>
            </w:r>
          </w:p>
        </w:tc>
        <w:tc>
          <w:tcPr>
            <w:tcW w:w="98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0815矿业类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0703化学类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0801力学类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0701数学类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0810土木类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0811水利类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0809计算机类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0802机械类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0805能源动力类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0813化工与制药类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0819 海洋工程类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0803仪器类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0829安全科学与工程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0807电子信息类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0808自动化类</w:t>
            </w:r>
          </w:p>
        </w:tc>
        <w:tc>
          <w:tcPr>
            <w:tcW w:w="164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64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18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jc w:val="center"/>
            </w:pPr>
            <w:r>
              <w:rPr>
                <w:rFonts w:hint="eastAsia" w:ascii="微软雅黑" w:hAnsi="微软雅黑" w:eastAsia="微软雅黑" w:cs="微软雅黑"/>
                <w:color w:val="000000"/>
                <w:sz w:val="14"/>
                <w:szCs w:val="14"/>
                <w:bdr w:val="none" w:color="auto" w:sz="0" w:space="0"/>
              </w:rPr>
              <w:t>081700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Fonts w:hint="eastAsia" w:ascii="微软雅黑" w:hAnsi="微软雅黑" w:eastAsia="微软雅黑" w:cs="微软雅黑"/>
                <w:color w:val="000000"/>
                <w:sz w:val="14"/>
                <w:szCs w:val="14"/>
                <w:bdr w:val="none" w:color="auto" w:sz="0" w:space="0"/>
              </w:rPr>
              <w:t>化学工程与技术</w:t>
            </w:r>
          </w:p>
        </w:tc>
        <w:tc>
          <w:tcPr>
            <w:tcW w:w="134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Fonts w:hint="eastAsia" w:ascii="微软雅黑" w:hAnsi="微软雅黑" w:eastAsia="微软雅黑" w:cs="微软雅黑"/>
                <w:color w:val="000000"/>
                <w:sz w:val="14"/>
                <w:szCs w:val="14"/>
                <w:bdr w:val="none" w:color="auto" w:sz="0" w:space="0"/>
              </w:rPr>
              <w:t>学术型</w:t>
            </w:r>
          </w:p>
        </w:tc>
        <w:tc>
          <w:tcPr>
            <w:tcW w:w="127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081700化学工程与技术</w:t>
            </w:r>
          </w:p>
        </w:tc>
        <w:tc>
          <w:tcPr>
            <w:tcW w:w="125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080500材料科学与工程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083000环境科学与工程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082000石油与天然气工程（油气田开发方向）</w:t>
            </w:r>
          </w:p>
        </w:tc>
        <w:tc>
          <w:tcPr>
            <w:tcW w:w="130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keepNext w:val="0"/>
              <w:keepLines w:val="0"/>
              <w:widowControl/>
              <w:suppressLineNumbers w:val="0"/>
              <w:spacing w:before="0" w:beforeAutospacing="0" w:after="0" w:afterAutospacing="0"/>
              <w:ind w:left="0" w:right="0"/>
              <w:jc w:val="left"/>
            </w:pPr>
          </w:p>
        </w:tc>
        <w:tc>
          <w:tcPr>
            <w:tcW w:w="98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0703化学类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0815矿业类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0804材料类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0813化工与制药类</w:t>
            </w:r>
          </w:p>
        </w:tc>
        <w:tc>
          <w:tcPr>
            <w:tcW w:w="164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64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Fonts w:hint="eastAsia" w:ascii="微软雅黑" w:hAnsi="微软雅黑" w:eastAsia="微软雅黑" w:cs="微软雅黑"/>
                <w:color w:val="000000"/>
                <w:sz w:val="14"/>
                <w:szCs w:val="14"/>
                <w:bdr w:val="none" w:color="auto" w:sz="0" w:space="0"/>
              </w:rPr>
              <w:t>全日制专业型</w:t>
            </w:r>
          </w:p>
        </w:tc>
        <w:tc>
          <w:tcPr>
            <w:tcW w:w="111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center"/>
            </w:pPr>
            <w:r>
              <w:rPr>
                <w:rFonts w:hint="eastAsia" w:ascii="微软雅黑" w:hAnsi="微软雅黑" w:eastAsia="微软雅黑" w:cs="微软雅黑"/>
                <w:color w:val="000000"/>
                <w:sz w:val="14"/>
                <w:szCs w:val="14"/>
                <w:bdr w:val="none" w:color="auto" w:sz="0" w:space="0"/>
              </w:rPr>
              <w:t>085703地质工程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center"/>
            </w:pPr>
            <w:r>
              <w:rPr>
                <w:rFonts w:hint="eastAsia" w:ascii="微软雅黑" w:hAnsi="微软雅黑" w:eastAsia="微软雅黑" w:cs="微软雅黑"/>
                <w:color w:val="000000"/>
                <w:sz w:val="14"/>
                <w:szCs w:val="14"/>
                <w:bdr w:val="none" w:color="auto" w:sz="0" w:space="0"/>
              </w:rPr>
              <w:t>-01油气勘探地质工程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0" w:afterAutospacing="0" w:line="240" w:lineRule="auto"/>
              <w:ind w:left="0" w:right="0"/>
              <w:jc w:val="center"/>
            </w:pPr>
            <w:r>
              <w:rPr>
                <w:rFonts w:hint="eastAsia" w:ascii="微软雅黑" w:hAnsi="微软雅黑" w:eastAsia="微软雅黑" w:cs="微软雅黑"/>
                <w:color w:val="000000"/>
                <w:sz w:val="14"/>
                <w:szCs w:val="14"/>
                <w:bdr w:val="none" w:color="auto" w:sz="0" w:space="0"/>
              </w:rPr>
              <w:t>（报考地层微生物资源与应用研究中心的考生重点考察生物（微生物）基础背景和能力）</w:t>
            </w:r>
          </w:p>
        </w:tc>
        <w:tc>
          <w:tcPr>
            <w:tcW w:w="53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学术型、专业型</w:t>
            </w:r>
          </w:p>
        </w:tc>
        <w:tc>
          <w:tcPr>
            <w:tcW w:w="133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081800地质资源与地质工程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085703地质工程</w:t>
            </w:r>
          </w:p>
        </w:tc>
        <w:tc>
          <w:tcPr>
            <w:tcW w:w="139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082000石油与天然气工程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085706石油与天然气工程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081900矿业工程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081400土木工程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085400电子信息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085701环境工程</w:t>
            </w:r>
          </w:p>
        </w:tc>
        <w:tc>
          <w:tcPr>
            <w:tcW w:w="109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085900土木水利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081500水利工程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083000环境科学与工程</w:t>
            </w:r>
          </w:p>
        </w:tc>
        <w:tc>
          <w:tcPr>
            <w:tcW w:w="150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地质资源与地质工程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资源勘查工程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资源勘查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勘查技术与工程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地质学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地球化学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石油工程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应用物理学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地球物理学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水文与水资源工程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地下水科学与工程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土木工程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计算机科学与技术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软件工程</w:t>
            </w:r>
          </w:p>
        </w:tc>
        <w:tc>
          <w:tcPr>
            <w:tcW w:w="60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地理信息科学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遥感科学与技术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采矿工程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岩土工程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测绘工程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矿物加工工程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城市地下空间工程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材料科学与工程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环境工程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生物工程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环境科学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64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18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jc w:val="center"/>
            </w:pPr>
            <w:r>
              <w:rPr>
                <w:rFonts w:hint="eastAsia" w:ascii="微软雅黑" w:hAnsi="微软雅黑" w:eastAsia="微软雅黑" w:cs="微软雅黑"/>
                <w:color w:val="000000"/>
                <w:sz w:val="14"/>
                <w:szCs w:val="14"/>
                <w:bdr w:val="none" w:color="auto" w:sz="0" w:space="0"/>
              </w:rPr>
              <w:t>085703地质工程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Fonts w:hint="eastAsia" w:ascii="微软雅黑" w:hAnsi="微软雅黑" w:eastAsia="微软雅黑" w:cs="微软雅黑"/>
                <w:color w:val="000000"/>
                <w:sz w:val="14"/>
                <w:szCs w:val="14"/>
                <w:bdr w:val="none" w:color="auto" w:sz="0" w:space="0"/>
              </w:rPr>
              <w:t>-05 油气地球物理勘探工程</w:t>
            </w:r>
          </w:p>
        </w:tc>
        <w:tc>
          <w:tcPr>
            <w:tcW w:w="134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Fonts w:hint="eastAsia" w:ascii="微软雅黑" w:hAnsi="微软雅黑" w:eastAsia="微软雅黑" w:cs="微软雅黑"/>
                <w:color w:val="000000"/>
                <w:sz w:val="14"/>
                <w:szCs w:val="14"/>
                <w:bdr w:val="none" w:color="auto" w:sz="0" w:space="0"/>
              </w:rPr>
              <w:t>学术型、专业型</w:t>
            </w:r>
          </w:p>
        </w:tc>
        <w:tc>
          <w:tcPr>
            <w:tcW w:w="127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081800地质资源与地质工程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085703地质工程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081802地球探测与信息技术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085400电子信息</w:t>
            </w:r>
          </w:p>
        </w:tc>
        <w:tc>
          <w:tcPr>
            <w:tcW w:w="138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081200计算机科学与技术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081400土木工程</w:t>
            </w:r>
          </w:p>
        </w:tc>
        <w:tc>
          <w:tcPr>
            <w:tcW w:w="140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keepNext w:val="0"/>
              <w:keepLines w:val="0"/>
              <w:widowControl/>
              <w:suppressLineNumbers w:val="0"/>
              <w:spacing w:before="0" w:beforeAutospacing="0" w:after="0" w:afterAutospacing="0"/>
              <w:ind w:left="0" w:right="0"/>
              <w:jc w:val="left"/>
            </w:pPr>
          </w:p>
        </w:tc>
        <w:tc>
          <w:tcPr>
            <w:tcW w:w="104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地质资源与地质工程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资源勘查工程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勘查技术与工程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地球物理学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应用物理学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计算机科学与技术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软件工程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通信工程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网络工程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电子科学与技术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土木工程</w:t>
            </w:r>
          </w:p>
        </w:tc>
        <w:tc>
          <w:tcPr>
            <w:tcW w:w="165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岩土工程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石油工程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理论与应用力学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数学与应用数学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信息与计算科学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数理基础科学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数据计算及应用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64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18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jc w:val="center"/>
            </w:pPr>
            <w:r>
              <w:rPr>
                <w:rFonts w:hint="eastAsia" w:ascii="微软雅黑" w:hAnsi="微软雅黑" w:eastAsia="微软雅黑" w:cs="微软雅黑"/>
                <w:color w:val="000000"/>
                <w:sz w:val="14"/>
                <w:szCs w:val="14"/>
                <w:bdr w:val="none" w:color="auto" w:sz="0" w:space="0"/>
              </w:rPr>
              <w:t>085706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Fonts w:hint="eastAsia" w:ascii="微软雅黑" w:hAnsi="微软雅黑" w:eastAsia="微软雅黑" w:cs="微软雅黑"/>
                <w:color w:val="000000"/>
                <w:sz w:val="14"/>
                <w:szCs w:val="14"/>
                <w:bdr w:val="none" w:color="auto" w:sz="0" w:space="0"/>
              </w:rPr>
              <w:t>石油与天然气工程</w:t>
            </w:r>
          </w:p>
        </w:tc>
        <w:tc>
          <w:tcPr>
            <w:tcW w:w="134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Fonts w:hint="eastAsia" w:ascii="微软雅黑" w:hAnsi="微软雅黑" w:eastAsia="微软雅黑" w:cs="微软雅黑"/>
                <w:color w:val="000000"/>
                <w:sz w:val="14"/>
                <w:szCs w:val="14"/>
                <w:bdr w:val="none" w:color="auto" w:sz="0" w:space="0"/>
              </w:rPr>
              <w:t>学术型、专业型</w:t>
            </w:r>
          </w:p>
        </w:tc>
        <w:tc>
          <w:tcPr>
            <w:tcW w:w="127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082000石油与天然气工程（油气井、油气田开发、海洋油气方向）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085706石油与天然气工程（油气井、油气田开发、海洋油气方向）</w:t>
            </w:r>
          </w:p>
        </w:tc>
        <w:tc>
          <w:tcPr>
            <w:tcW w:w="138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081700化学工程与技术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085602化学工程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080100力学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082000石油与天然气工程（油气储运方向）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085706石油与天然气工程（油气储运方向）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080200机械工程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085501机械工程085502车辆工程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081200计算机科学与技术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083500软件工程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085400电子信息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085801电气工程085802动力工程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080701工程热物理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080706化工过程机械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081401岩土工程081402结构工程081406桥梁与隧道工程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085901土木工程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081501水文学及水资源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081502水力学及河流动力学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085902水利工程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080500材料科学与工程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085601材料工程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081100控制科学与工程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082500航空宇航科学与技术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085702安全工程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082804农业电气化与自动化</w:t>
            </w:r>
          </w:p>
        </w:tc>
        <w:tc>
          <w:tcPr>
            <w:tcW w:w="140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083700安全科学与工程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083000环境科学与工程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083900网络空间安全</w:t>
            </w:r>
          </w:p>
        </w:tc>
        <w:tc>
          <w:tcPr>
            <w:tcW w:w="104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0815矿业类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0703化学类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0801力学类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0701数学类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0810土木类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0811水利类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0809计算机类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0802机械类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0805能源动力类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0813化工与制药类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0820航空航天类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0819海洋工程类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0803仪器类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0829安全科学与工程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0807电子信息类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0808自动化类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0806电气类</w:t>
            </w:r>
          </w:p>
        </w:tc>
        <w:tc>
          <w:tcPr>
            <w:tcW w:w="165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64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18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jc w:val="center"/>
            </w:pPr>
            <w:r>
              <w:rPr>
                <w:rFonts w:hint="eastAsia" w:ascii="微软雅黑" w:hAnsi="微软雅黑" w:eastAsia="微软雅黑" w:cs="微软雅黑"/>
                <w:color w:val="000000"/>
                <w:sz w:val="14"/>
                <w:szCs w:val="14"/>
                <w:bdr w:val="none" w:color="auto" w:sz="0" w:space="0"/>
              </w:rPr>
              <w:t>085602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Fonts w:hint="eastAsia" w:ascii="微软雅黑" w:hAnsi="微软雅黑" w:eastAsia="微软雅黑" w:cs="微软雅黑"/>
                <w:color w:val="000000"/>
                <w:sz w:val="14"/>
                <w:szCs w:val="14"/>
                <w:bdr w:val="none" w:color="auto" w:sz="0" w:space="0"/>
              </w:rPr>
              <w:t>化学工程</w:t>
            </w:r>
          </w:p>
        </w:tc>
        <w:tc>
          <w:tcPr>
            <w:tcW w:w="134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jc w:val="center"/>
            </w:pPr>
            <w:r>
              <w:rPr>
                <w:rFonts w:hint="eastAsia" w:ascii="微软雅黑" w:hAnsi="微软雅黑" w:eastAsia="微软雅黑" w:cs="微软雅黑"/>
                <w:color w:val="000000"/>
                <w:sz w:val="14"/>
                <w:szCs w:val="14"/>
                <w:bdr w:val="none" w:color="auto" w:sz="0" w:space="0"/>
              </w:rPr>
              <w:t>学术型、专业型</w:t>
            </w:r>
          </w:p>
        </w:tc>
        <w:tc>
          <w:tcPr>
            <w:tcW w:w="127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081700化学工程与技术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085602化学工程</w:t>
            </w:r>
          </w:p>
        </w:tc>
        <w:tc>
          <w:tcPr>
            <w:tcW w:w="138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080500材料科学与工程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083000环境科学与工程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082000石油与天然气工程（油气田开发方向）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240" w:lineRule="auto"/>
              <w:ind w:left="0" w:right="0"/>
            </w:pPr>
            <w:r>
              <w:rPr>
                <w:rFonts w:hint="eastAsia" w:ascii="微软雅黑" w:hAnsi="微软雅黑" w:eastAsia="微软雅黑" w:cs="微软雅黑"/>
                <w:color w:val="000000"/>
                <w:sz w:val="14"/>
                <w:szCs w:val="14"/>
                <w:bdr w:val="none" w:color="auto" w:sz="0" w:space="0"/>
              </w:rPr>
              <w:t>085706石油与天然气工程（油气田开发方向）</w:t>
            </w:r>
          </w:p>
        </w:tc>
        <w:tc>
          <w:tcPr>
            <w:tcW w:w="140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keepNext w:val="0"/>
              <w:keepLines w:val="0"/>
              <w:widowControl/>
              <w:suppressLineNumbers w:val="0"/>
              <w:spacing w:before="0" w:beforeAutospacing="0" w:after="0" w:afterAutospacing="0"/>
              <w:ind w:left="0" w:right="0"/>
              <w:jc w:val="left"/>
            </w:pPr>
          </w:p>
        </w:tc>
        <w:tc>
          <w:tcPr>
            <w:tcW w:w="104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0703化学类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0815矿业类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0804材料类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line="240" w:lineRule="auto"/>
            </w:pPr>
            <w:r>
              <w:rPr>
                <w:rFonts w:hint="eastAsia" w:ascii="微软雅黑" w:hAnsi="微软雅黑" w:eastAsia="微软雅黑" w:cs="微软雅黑"/>
                <w:color w:val="000000"/>
                <w:sz w:val="14"/>
                <w:szCs w:val="14"/>
                <w:bdr w:val="none" w:color="auto" w:sz="0" w:space="0"/>
              </w:rPr>
              <w:t>0813化工与制药类</w:t>
            </w:r>
          </w:p>
        </w:tc>
        <w:tc>
          <w:tcPr>
            <w:tcW w:w="1653"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keepNext w:val="0"/>
              <w:keepLines w:val="0"/>
              <w:widowControl/>
              <w:suppressLineNumbers w:val="0"/>
              <w:spacing w:before="0" w:beforeAutospacing="0" w:after="0" w:afterAutospacing="0"/>
              <w:ind w:left="0" w:right="0"/>
              <w:jc w:val="left"/>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四、调剂流程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1.报名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调剂考生登录“全国复试调剂服务系统”（http://yz.chsi.com.cn/yztj/）进行调剂申请，</w:t>
      </w: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完成后请务必尽快将“复试信息统计表”发到</w:t>
      </w:r>
      <w:r>
        <w:rPr>
          <w:rFonts w:hint="eastAsia" w:ascii="微软雅黑" w:hAnsi="微软雅黑" w:eastAsia="微软雅黑" w:cs="微软雅黑"/>
          <w:i w:val="0"/>
          <w:iCs w:val="0"/>
          <w:caps w:val="0"/>
          <w:color w:val="000000"/>
          <w:spacing w:val="0"/>
          <w:sz w:val="16"/>
          <w:szCs w:val="16"/>
          <w:bdr w:val="none" w:color="auto" w:sz="0" w:space="0"/>
          <w:shd w:val="clear" w:fill="FFFFFF"/>
        </w:rPr>
        <w:t>我院邮箱feichangguiyuan@126.com</w:t>
      </w: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，邮件接收截止时间4月6日14：00。</w:t>
      </w:r>
      <w:r>
        <w:rPr>
          <w:rFonts w:hint="eastAsia" w:ascii="微软雅黑" w:hAnsi="微软雅黑" w:eastAsia="微软雅黑" w:cs="微软雅黑"/>
          <w:i w:val="0"/>
          <w:iCs w:val="0"/>
          <w:caps w:val="0"/>
          <w:color w:val="000000"/>
          <w:spacing w:val="0"/>
          <w:sz w:val="16"/>
          <w:szCs w:val="16"/>
          <w:bdr w:val="none" w:color="auto" w:sz="0" w:space="0"/>
          <w:shd w:val="clear" w:fill="FFFFFF"/>
        </w:rPr>
        <w:t>邮件命名方式为：“姓名+考生编号+报考专业（方向）”。未提交完整版“复试信息统计表”的考生视为放弃复试。下载链接：</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instrText xml:space="preserve"> HYPERLINK "https://www.cup.edu.cn/fcg/docs/2023-04/3a767ee3c7804a86a3dc73ecd559c91a.xlsx" </w:instrTex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separate"/>
      </w:r>
      <w:r>
        <w:rPr>
          <w:rStyle w:val="8"/>
          <w:rFonts w:hint="eastAsia" w:ascii="微软雅黑" w:hAnsi="微软雅黑" w:eastAsia="微软雅黑" w:cs="微软雅黑"/>
          <w:i w:val="0"/>
          <w:iCs w:val="0"/>
          <w:caps w:val="0"/>
          <w:color w:val="333333"/>
          <w:spacing w:val="0"/>
          <w:sz w:val="16"/>
          <w:szCs w:val="16"/>
          <w:u w:val="none"/>
          <w:bdr w:val="none" w:color="auto" w:sz="0" w:space="0"/>
          <w:shd w:val="clear" w:fill="FFFFFF"/>
        </w:rPr>
        <w:t>复试信息统计表</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6"/>
          <w:szCs w:val="16"/>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待国家研招网调剂申请通过后再登录中国石油大学（北京）研究生报考服务系统（</w: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instrText xml:space="preserve"> HYPERLINK "http://gmss.cup.edu.cn/bs/index" </w:instrTex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separate"/>
      </w:r>
      <w:r>
        <w:rPr>
          <w:rStyle w:val="8"/>
          <w:rFonts w:hint="eastAsia" w:ascii="微软雅黑" w:hAnsi="微软雅黑" w:eastAsia="微软雅黑" w:cs="微软雅黑"/>
          <w:i w:val="0"/>
          <w:iCs w:val="0"/>
          <w:caps w:val="0"/>
          <w:color w:val="000000"/>
          <w:spacing w:val="0"/>
          <w:sz w:val="16"/>
          <w:szCs w:val="16"/>
          <w:u w:val="none"/>
          <w:bdr w:val="none" w:color="auto" w:sz="0" w:space="0"/>
          <w:shd w:val="clear" w:fill="FFFFFF"/>
        </w:rPr>
        <w:t>http://gmss.cup.edu.cn/bs/index</w: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6"/>
          <w:szCs w:val="16"/>
          <w:bdr w:val="none" w:color="auto" w:sz="0" w:space="0"/>
          <w:shd w:val="clear" w:fill="FFFFFF"/>
        </w:rPr>
        <w:t>）填报材料并进行复试确认。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“全国复试调剂服务系统”报名时间</w:t>
      </w: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4月6日0:00-4月6日14：00</w:t>
      </w:r>
      <w:r>
        <w:rPr>
          <w:rFonts w:hint="eastAsia" w:ascii="微软雅黑" w:hAnsi="微软雅黑" w:eastAsia="微软雅黑" w:cs="微软雅黑"/>
          <w:i w:val="0"/>
          <w:iCs w:val="0"/>
          <w:caps w:val="0"/>
          <w:color w:val="000000"/>
          <w:spacing w:val="0"/>
          <w:sz w:val="16"/>
          <w:szCs w:val="16"/>
          <w:bdr w:val="none" w:color="auto" w:sz="0" w:space="0"/>
          <w:shd w:val="clear" w:fill="FFFFFF"/>
        </w:rPr>
        <w:t>，中国石油大学（北京）研究生报考服务系统报名及提交材料时间</w:t>
      </w: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4月7日上午8:00至4月8日上午8：00。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2.复试安排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（1）复试时间、地点等具体安排另行通知；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（2）以同等学力身份报考的考生，在复试前加试两门与所报考专业的初试科目不同的大学本科主干课程。试卷满分为100分，加试科目成绩不及格（低于60分），不予录取；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（3）加分政策调剂考生：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对于符合教育部加分政策调剂考生，须于</w:t>
      </w: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2023年4月6日14:00前</w:t>
      </w:r>
      <w:r>
        <w:rPr>
          <w:rFonts w:hint="eastAsia" w:ascii="微软雅黑" w:hAnsi="微软雅黑" w:eastAsia="微软雅黑" w:cs="微软雅黑"/>
          <w:i w:val="0"/>
          <w:iCs w:val="0"/>
          <w:caps w:val="0"/>
          <w:color w:val="000000"/>
          <w:spacing w:val="0"/>
          <w:sz w:val="16"/>
          <w:szCs w:val="16"/>
          <w:bdr w:val="none" w:color="auto" w:sz="0" w:space="0"/>
          <w:shd w:val="clear" w:fill="FFFFFF"/>
        </w:rPr>
        <w:t>将本人有效居民身份证件（正反面）、书面说明（手写签名）以及证明材料，扫描或拍照后，以考生的准考证号+姓名+加分政策名称作为邮件主题，同时发送至学院邮箱(feichangguiyuan@126.com)和研招办邮箱（sdyzb@cup.edu.cn），收到考生提交的材料后，学院将根据教育部最新文件及名单进行核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20"/>
        <w:jc w:val="both"/>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3.录取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jc w:val="both"/>
      </w:pPr>
      <w:r>
        <w:rPr>
          <w:rFonts w:hint="eastAsia" w:ascii="微软雅黑" w:hAnsi="微软雅黑" w:eastAsia="微软雅黑" w:cs="微软雅黑"/>
          <w:i w:val="0"/>
          <w:iCs w:val="0"/>
          <w:caps w:val="0"/>
          <w:color w:val="000000"/>
          <w:spacing w:val="0"/>
          <w:sz w:val="16"/>
          <w:szCs w:val="16"/>
          <w:bdr w:val="none" w:color="auto" w:sz="0" w:space="0"/>
          <w:shd w:val="clear" w:fill="FFFFFF"/>
        </w:rPr>
        <w:t>调剂考生复试与录取工作的具体细则见我院官网通知《非常规油气科学技术研究院2023年硕士研究生复试细则》。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五、考生接待电话和纪检监察部门受理考生投诉的监督举报电话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北京教育考试院研究生招生办公室招生专用监督电话：010-82837456；</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中国石油大学（北京）研究生院招生办公室电话：010-89733075；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研究生院邮箱：</w: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instrText xml:space="preserve"> HYPERLINK "mailto:sdyzb@cup.edu.cn" </w:instrTex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separate"/>
      </w:r>
      <w:r>
        <w:rPr>
          <w:rStyle w:val="8"/>
          <w:rFonts w:hint="eastAsia" w:ascii="微软雅黑" w:hAnsi="微软雅黑" w:eastAsia="微软雅黑" w:cs="微软雅黑"/>
          <w:i w:val="0"/>
          <w:iCs w:val="0"/>
          <w:caps w:val="0"/>
          <w:color w:val="000000"/>
          <w:spacing w:val="0"/>
          <w:sz w:val="16"/>
          <w:szCs w:val="16"/>
          <w:u w:val="none"/>
          <w:bdr w:val="none" w:color="auto" w:sz="0" w:space="0"/>
          <w:shd w:val="clear" w:fill="FFFFFF"/>
        </w:rPr>
        <w:t>sdyzb@cup.edu.cn</w: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t>中国石油大学（北京）监督举报电话：010-89733105；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t>非常规油气科学技术研究院院办电话：010-89739051；</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t>非常规油气科学技术研究院邮箱：</w: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instrText xml:space="preserve"> HYPERLINK "mailto:feichangguiyuan@126.com" </w:instrTex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separate"/>
      </w:r>
      <w:r>
        <w:rPr>
          <w:rStyle w:val="8"/>
          <w:rFonts w:hint="eastAsia" w:ascii="微软雅黑" w:hAnsi="微软雅黑" w:eastAsia="微软雅黑" w:cs="微软雅黑"/>
          <w:i w:val="0"/>
          <w:iCs w:val="0"/>
          <w:caps w:val="0"/>
          <w:color w:val="000000"/>
          <w:spacing w:val="0"/>
          <w:sz w:val="16"/>
          <w:szCs w:val="16"/>
          <w:u w:val="none"/>
          <w:bdr w:val="none" w:color="auto" w:sz="0" w:space="0"/>
          <w:shd w:val="clear" w:fill="FFFFFF"/>
        </w:rPr>
        <w:t>feichangguiyuan@126.com</w: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pPr>
      <w:r>
        <w:rPr>
          <w:rStyle w:val="7"/>
          <w:rFonts w:hint="eastAsia" w:ascii="微软雅黑" w:hAnsi="微软雅黑" w:eastAsia="微软雅黑" w:cs="微软雅黑"/>
          <w:i w:val="0"/>
          <w:iCs w:val="0"/>
          <w:caps w:val="0"/>
          <w:color w:val="000000"/>
          <w:spacing w:val="0"/>
          <w:sz w:val="16"/>
          <w:szCs w:val="16"/>
          <w:bdr w:val="none" w:color="auto" w:sz="0" w:space="0"/>
          <w:shd w:val="clear" w:fill="FFFFFF"/>
        </w:rPr>
        <w:t>六、其它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1.如本细则与学校或者上级文件有不一致处，以上级文件为准。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2.本细则由非常规油气科学技术研究院研究生招生工作领导小组负责解释。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280"/>
      </w:pPr>
      <w:r>
        <w:rPr>
          <w:rFonts w:hint="eastAsia" w:ascii="微软雅黑" w:hAnsi="微软雅黑" w:eastAsia="微软雅黑" w:cs="微软雅黑"/>
          <w:i w:val="0"/>
          <w:iCs w:val="0"/>
          <w:caps w:val="0"/>
          <w:color w:val="000000"/>
          <w:spacing w:val="0"/>
          <w:sz w:val="16"/>
          <w:szCs w:val="16"/>
          <w:bdr w:val="none" w:color="auto" w:sz="0" w:space="0"/>
          <w:shd w:val="clear" w:fill="FFFFFF"/>
        </w:rPr>
        <w:t>3.其它未尽事宜由非常规油气科学技术研究院研究生招生工作领导小组决定。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jc w:val="right"/>
      </w:pPr>
      <w:r>
        <w:rPr>
          <w:rFonts w:hint="eastAsia" w:ascii="微软雅黑" w:hAnsi="微软雅黑" w:eastAsia="微软雅黑" w:cs="微软雅黑"/>
          <w:i w:val="0"/>
          <w:iCs w:val="0"/>
          <w:caps w:val="0"/>
          <w:color w:val="000000"/>
          <w:spacing w:val="0"/>
          <w:sz w:val="16"/>
          <w:szCs w:val="16"/>
          <w:bdr w:val="none" w:color="auto" w:sz="0" w:space="0"/>
          <w:shd w:val="clear" w:fill="FFFFFF"/>
        </w:rPr>
        <w:t>非常规油气科学技术研究院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right"/>
      </w:pPr>
      <w:r>
        <w:rPr>
          <w:rFonts w:hint="eastAsia" w:ascii="微软雅黑" w:hAnsi="微软雅黑" w:eastAsia="微软雅黑" w:cs="微软雅黑"/>
          <w:i w:val="0"/>
          <w:iCs w:val="0"/>
          <w:caps w:val="0"/>
          <w:color w:val="000000"/>
          <w:spacing w:val="0"/>
          <w:sz w:val="16"/>
          <w:szCs w:val="16"/>
          <w:bdr w:val="none" w:color="auto" w:sz="0" w:space="0"/>
          <w:shd w:val="clear" w:fill="FFFFFF"/>
        </w:rPr>
        <w:t>2023年4月3日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2A24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2023-06-03T01:09:14Z</dcterms:created>
  <dc:creator>Administrator</dc:creator>
  <cp:lastModifiedBy>王英</cp:lastModifiedBy>
  <dcterms:modified xsi:type="dcterms:W3CDTF">2023-06-03T01:09:22Z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21EB48F1D77C4F03BFD9CE738A52E9B6</vt:lpwstr>
  </property>
</Properties>
</file>