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jc w:val="center"/>
        <w:rPr>
          <w:sz w:val="24"/>
          <w:szCs w:val="24"/>
        </w:rPr>
      </w:pPr>
      <w:bookmarkStart w:id="0" w:name="_GoBack"/>
      <w:r>
        <w:rPr>
          <w:i w:val="0"/>
          <w:iCs w:val="0"/>
          <w:caps w:val="0"/>
          <w:color w:val="333333"/>
          <w:spacing w:val="0"/>
          <w:sz w:val="24"/>
          <w:szCs w:val="24"/>
          <w:bdr w:val="none" w:color="auto" w:sz="0" w:space="0"/>
          <w:shd w:val="clear" w:fill="FFFFFF"/>
        </w:rPr>
        <w:t>非常规油气科学技术研究院2023年硕士招生调剂复试通知</w:t>
      </w:r>
    </w:p>
    <w:bookmarkEnd w:id="0"/>
    <w:p>
      <w:pPr>
        <w:keepNext w:val="0"/>
        <w:keepLines w:val="0"/>
        <w:widowControl/>
        <w:suppressLineNumbers w:val="0"/>
        <w:pBdr>
          <w:top w:val="single" w:color="EBEBEB" w:sz="4" w:space="5"/>
          <w:left w:val="none" w:color="auto" w:sz="0" w:space="0"/>
          <w:bottom w:val="single" w:color="EBEBEB" w:sz="4" w:space="5"/>
          <w:right w:val="none" w:color="auto" w:sz="0" w:space="0"/>
        </w:pBdr>
        <w:shd w:val="clear" w:fill="FFFFFF"/>
        <w:spacing w:before="0" w:beforeAutospacing="0" w:after="200" w:afterAutospacing="0" w:line="15" w:lineRule="atLeast"/>
        <w:ind w:left="0" w:right="0" w:firstLine="0"/>
        <w:jc w:val="center"/>
        <w:rPr>
          <w:rFonts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日期:2023-04-07 </w:t>
      </w:r>
      <w:r>
        <w:rPr>
          <w:rFonts w:hint="eastAsia" w:ascii="微软雅黑" w:hAnsi="微软雅黑" w:eastAsia="微软雅黑" w:cs="微软雅黑"/>
          <w:b w:val="0"/>
          <w:bCs w:val="0"/>
          <w:i w:val="0"/>
          <w:iCs w:val="0"/>
          <w:caps w:val="0"/>
          <w:color w:val="CCCCCC"/>
          <w:spacing w:val="0"/>
          <w:kern w:val="0"/>
          <w:sz w:val="15"/>
          <w:szCs w:val="15"/>
          <w:bdr w:val="none" w:color="auto" w:sz="0" w:space="0"/>
          <w:shd w:val="clear" w:fill="FFFFFF"/>
          <w:lang w:val="en-US" w:eastAsia="zh-CN" w:bidi="ar"/>
        </w:rPr>
        <w:t>|</w:t>
      </w:r>
      <w:r>
        <w:rPr>
          <w:rFonts w:hint="eastAsia" w:ascii="微软雅黑" w:hAnsi="微软雅黑" w:eastAsia="微软雅黑" w:cs="微软雅黑"/>
          <w:i w:val="0"/>
          <w:iCs w:val="0"/>
          <w:caps w:val="0"/>
          <w:color w:val="333333"/>
          <w:spacing w:val="0"/>
          <w:kern w:val="0"/>
          <w:sz w:val="15"/>
          <w:szCs w:val="15"/>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2598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1" w:lineRule="atLeast"/>
        <w:ind w:left="0" w:right="0"/>
        <w:jc w:val="cente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一、调剂考生进入复试的要求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调剂考生需通过研招网调剂系统填报调剂志愿，并经学院审核遴选后，通过调剂系统发送复试通知，考生通过调剂系统接收并确认复试通知后方可参加复试。其它电话通知及短信通知不作为进入复试的依据。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二、调剂考生复试时间和方式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1.复试时间：2023年4月9日上午8：30开始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2.复试方式：线下复试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3.复试地点：（小组成员随机分配，另行通知）</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700"/>
        <w:gridCol w:w="18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00" w:hRule="atLeast"/>
          <w:jc w:val="center"/>
        </w:trPr>
        <w:tc>
          <w:tcPr>
            <w:tcW w:w="1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7"/>
                <w:rFonts w:hint="eastAsia" w:ascii="微软雅黑" w:hAnsi="微软雅黑" w:eastAsia="微软雅黑" w:cs="微软雅黑"/>
                <w:color w:val="000000"/>
                <w:spacing w:val="0"/>
                <w:sz w:val="14"/>
                <w:szCs w:val="14"/>
                <w:bdr w:val="none" w:color="auto" w:sz="0" w:space="0"/>
                <w:shd w:val="clear" w:fill="FFFFFF"/>
              </w:rPr>
              <w:t>小组</w:t>
            </w:r>
          </w:p>
        </w:tc>
        <w:tc>
          <w:tcPr>
            <w:tcW w:w="18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7"/>
                <w:rFonts w:hint="eastAsia" w:ascii="微软雅黑" w:hAnsi="微软雅黑" w:eastAsia="微软雅黑" w:cs="微软雅黑"/>
                <w:color w:val="000000"/>
                <w:spacing w:val="0"/>
                <w:sz w:val="14"/>
                <w:szCs w:val="14"/>
                <w:bdr w:val="none" w:color="auto" w:sz="0" w:space="0"/>
                <w:shd w:val="clear" w:fill="FFFFFF"/>
              </w:rPr>
              <w:t>地点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0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1组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东教102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0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2组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东教103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0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3组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东教104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0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4组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东教107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0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5组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东教108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1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6组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东教110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1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7组</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东教202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10" w:hRule="atLeast"/>
          <w:jc w:val="center"/>
        </w:trPr>
        <w:tc>
          <w:tcPr>
            <w:tcW w:w="1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候场</w:t>
            </w:r>
          </w:p>
        </w:tc>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1楼-东教111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Fonts w:hint="eastAsia" w:ascii="微软雅黑" w:hAnsi="微软雅黑" w:eastAsia="微软雅黑" w:cs="微软雅黑"/>
                <w:color w:val="000000"/>
                <w:spacing w:val="0"/>
                <w:sz w:val="14"/>
                <w:szCs w:val="14"/>
                <w:bdr w:val="none" w:color="auto" w:sz="0" w:space="0"/>
                <w:shd w:val="clear" w:fill="FFFFFF"/>
              </w:rPr>
              <w:t>2楼-东教203</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具体复试流程参见《非常规油气科学技术研究院2023年硕士研究生复试细则》和《非常规油气科学技术研究院2023年接收硕士研究生调剂申请的通知暨硕士研究生招生调剂工作细则》。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三、资格审查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参加复试的考生必须符合招生简章中的报考条件，运用“人脸识别”“人证识别”，并通过综合比对“报考库”、“学籍学历库”、“人口信息库”、“考生考试诚信档案库”的“四比对”措施，加强考生身份审查核验。资格审查不合格者不得参加复试。考生需要现场提供</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资格审查材料原件（签字、盖章必须原件）</w:t>
      </w:r>
      <w:r>
        <w:rPr>
          <w:rFonts w:hint="eastAsia" w:ascii="微软雅黑" w:hAnsi="微软雅黑" w:eastAsia="微软雅黑" w:cs="微软雅黑"/>
          <w:i w:val="0"/>
          <w:iCs w:val="0"/>
          <w:caps w:val="0"/>
          <w:color w:val="000000"/>
          <w:spacing w:val="0"/>
          <w:sz w:val="16"/>
          <w:szCs w:val="16"/>
          <w:bdr w:val="none" w:color="auto" w:sz="0" w:space="0"/>
          <w:shd w:val="clear" w:fill="FFFFFF"/>
        </w:rPr>
        <w:t>，详见《非常规油气科学技术研究院2023年硕士研究生复试细则》。北京教育考试院研究生招生办公室招生专用监督电话：010-82837456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院办电话：010-89739051，邮箱：</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"mailto:feichangguiyuan@126.com"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feichangguiyuan@126.com</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中国石油大学（北京）研究生招生办公室电话：010-89733075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邮箱：sdyzb@cup.edu.cn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中国石油大学（北京）监督举报电话：010-89733105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420"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四、其它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（1）本细则由非常规油气科学技术研究院研究生招生工作领导小组负责解释。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（2）其它未尽事宜由非常规油气科学技术研究院研究生招生工作领导小组决定。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非常规油气科学技术研究院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4E63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2023-06-03T01:08:15Z</dcterms:created>
  <dc:creator>Administrator</dc:creator>
  <cp:lastModifiedBy>王英</cp:lastModifiedBy>
  <dcterms:modified xsi:type="dcterms:W3CDTF">2023-06-03T01:08:24Z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1183AEE3749745E09990F91DA0BA5DA1</vt:lpwstr>
  </property>
</Properties>
</file>