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0" w:beforeAutospacing="0" w:after="282" w:afterAutospacing="0" w:line="312" w:lineRule="atLeast"/>
        <w:ind w:left="0" w:right="0"/>
        <w:jc w:val="center"/>
        <w:rPr>
          <w:rFonts w:ascii="微软雅黑" w:hAnsi="微软雅黑" w:eastAsia="微软雅黑" w:cs="微软雅黑"/>
          <w:b/>
          <w:sz w:val="26"/>
          <w:szCs w:val="26"/>
        </w:rPr>
      </w:pPr>
      <w:r>
        <w:rPr>
          <w:rFonts w:hint="eastAsia" w:ascii="微软雅黑" w:hAnsi="微软雅黑" w:eastAsia="微软雅黑" w:cs="微软雅黑"/>
          <w:b/>
          <w:i w:val="0"/>
          <w:caps w:val="0"/>
          <w:color w:val="555555"/>
          <w:spacing w:val="0"/>
          <w:sz w:val="26"/>
          <w:szCs w:val="26"/>
          <w:bdr w:val="none" w:color="auto" w:sz="0" w:space="0"/>
          <w:shd w:val="clear" w:fill="FFFFFF"/>
        </w:rPr>
        <w:t>中山大学医学院2023年硕士研究生调剂公告（第三批）</w:t>
      </w:r>
    </w:p>
    <w:p>
      <w:pPr>
        <w:keepNext w:val="0"/>
        <w:keepLines w:val="0"/>
        <w:widowControl/>
        <w:suppressLineNumbers w:val="0"/>
        <w:pBdr>
          <w:top w:val="none" w:color="auto" w:sz="0" w:space="0"/>
          <w:bottom w:val="none" w:color="auto" w:sz="0" w:space="0"/>
        </w:pBdr>
        <w:shd w:val="clear" w:fill="FFFFFF"/>
        <w:spacing w:before="70" w:beforeAutospacing="0" w:after="282" w:afterAutospacing="0"/>
        <w:ind w:left="0" w:firstLine="0"/>
        <w:jc w:val="center"/>
        <w:rPr>
          <w:rFonts w:hint="eastAsia" w:ascii="微软雅黑" w:hAnsi="微软雅黑" w:eastAsia="微软雅黑" w:cs="微软雅黑"/>
          <w:i w:val="0"/>
          <w:caps w:val="0"/>
          <w:color w:val="999999"/>
          <w:spacing w:val="0"/>
          <w:sz w:val="14"/>
          <w:szCs w:val="14"/>
        </w:rPr>
      </w:pPr>
      <w:r>
        <w:rPr>
          <w:rFonts w:hint="eastAsia" w:ascii="微软雅黑" w:hAnsi="微软雅黑" w:eastAsia="微软雅黑" w:cs="微软雅黑"/>
          <w:i w:val="0"/>
          <w:caps w:val="0"/>
          <w:color w:val="999999"/>
          <w:spacing w:val="0"/>
          <w:kern w:val="0"/>
          <w:sz w:val="14"/>
          <w:szCs w:val="14"/>
          <w:shd w:val="clear" w:fill="FFFFFF"/>
          <w:lang w:val="en-US" w:eastAsia="zh-CN" w:bidi="ar"/>
        </w:rPr>
        <w:t>发布人：网站管理员 发布日期：2023-04-10 阅读次数：171</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b/>
          <w:i w:val="0"/>
          <w:caps w:val="0"/>
          <w:color w:val="555555"/>
          <w:spacing w:val="0"/>
          <w:sz w:val="16"/>
          <w:szCs w:val="16"/>
          <w:shd w:val="clear" w:fill="FFFFFF"/>
        </w:rPr>
        <w:t>一、接收调剂的专业(方向)、拟调剂招生计划及拟调剂复试名额</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404"/>
        <w:gridCol w:w="1184"/>
        <w:gridCol w:w="1335"/>
        <w:gridCol w:w="13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0" w:type="auto"/>
            <w:shd w:val="clear" w:color="auto" w:fill="FFFFFF"/>
            <w:noWrap/>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接收调剂专业</w:t>
            </w:r>
            <w:r>
              <w:rPr>
                <w:b/>
                <w:color w:val="555555"/>
                <w:sz w:val="15"/>
                <w:szCs w:val="15"/>
              </w:rPr>
              <w:br w:type="textWrapping"/>
            </w:r>
            <w:r>
              <w:rPr>
                <w:b/>
                <w:color w:val="555555"/>
                <w:sz w:val="15"/>
                <w:szCs w:val="15"/>
              </w:rPr>
              <w:t>代码及名称</w:t>
            </w:r>
          </w:p>
        </w:tc>
        <w:tc>
          <w:tcPr>
            <w:tcW w:w="0" w:type="auto"/>
            <w:shd w:val="clear" w:color="auto" w:fill="FFFFFF"/>
            <w:noWrap/>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接收调剂方向</w:t>
            </w:r>
            <w:r>
              <w:rPr>
                <w:b/>
                <w:color w:val="555555"/>
                <w:sz w:val="15"/>
                <w:szCs w:val="15"/>
              </w:rPr>
              <w:br w:type="textWrapping"/>
            </w:r>
            <w:r>
              <w:rPr>
                <w:b/>
                <w:color w:val="555555"/>
                <w:sz w:val="15"/>
                <w:szCs w:val="15"/>
              </w:rPr>
              <w:t>代码及名称</w:t>
            </w:r>
          </w:p>
        </w:tc>
        <w:tc>
          <w:tcPr>
            <w:tcW w:w="0" w:type="auto"/>
            <w:shd w:val="clear" w:color="auto" w:fill="FFFFFF"/>
            <w:noWrap/>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拟调剂招生计划</w:t>
            </w:r>
          </w:p>
        </w:tc>
        <w:tc>
          <w:tcPr>
            <w:tcW w:w="0" w:type="auto"/>
            <w:shd w:val="clear" w:color="auto" w:fill="FFFFFF"/>
            <w:noWrap/>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拟调剂复试名额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shd w:val="clear" w:color="auto" w:fill="FFFFFF"/>
            <w:noWrap/>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color w:val="555555"/>
                <w:sz w:val="15"/>
                <w:szCs w:val="15"/>
              </w:rPr>
              <w:t>100100  基础医学</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color w:val="555555"/>
                <w:sz w:val="15"/>
                <w:szCs w:val="15"/>
              </w:rPr>
              <w:t>02  免疫学</w:t>
            </w:r>
          </w:p>
        </w:tc>
        <w:tc>
          <w:tcPr>
            <w:tcW w:w="0" w:type="auto"/>
            <w:shd w:val="clear" w:color="auto" w:fill="FFFFFF"/>
            <w:noWrap/>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color w:val="555555"/>
                <w:sz w:val="15"/>
                <w:szCs w:val="15"/>
              </w:rPr>
              <w:t>1</w:t>
            </w:r>
          </w:p>
        </w:tc>
        <w:tc>
          <w:tcPr>
            <w:tcW w:w="0" w:type="auto"/>
            <w:shd w:val="clear" w:color="auto" w:fill="FFFFFF"/>
            <w:noWrap/>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color w:val="555555"/>
                <w:sz w:val="15"/>
                <w:szCs w:val="15"/>
              </w:rPr>
              <w:t>2</w:t>
            </w:r>
          </w:p>
        </w:tc>
      </w:tr>
    </w:tbl>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注：具体调剂复试人数以实际接收调剂复试人数为准，具体调剂招生计划以实际录取人数为准。</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b/>
          <w:i w:val="0"/>
          <w:caps w:val="0"/>
          <w:color w:val="555555"/>
          <w:spacing w:val="0"/>
          <w:sz w:val="16"/>
          <w:szCs w:val="16"/>
          <w:shd w:val="clear" w:fill="FFFFFF"/>
        </w:rPr>
        <w:t>二、调剂要求</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（一）符合教育部和学校的调剂政策要求。</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（二）一志愿报考我校与100100基础医学相同或相近专业的优秀生源。</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（三）初试科目与成绩要求：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4" w:lineRule="atLeast"/>
        <w:ind w:left="0" w:right="0"/>
        <w:rPr>
          <w:rFonts w:hint="eastAsia" w:ascii="微软雅黑" w:hAnsi="微软雅黑" w:eastAsia="微软雅黑" w:cs="微软雅黑"/>
          <w:b w:val="0"/>
          <w:sz w:val="22"/>
          <w:szCs w:val="22"/>
        </w:rPr>
      </w:pPr>
      <w:r>
        <w:rPr>
          <w:rFonts w:hint="eastAsia" w:ascii="微软雅黑" w:hAnsi="微软雅黑" w:eastAsia="微软雅黑" w:cs="微软雅黑"/>
          <w:b w:val="0"/>
          <w:i w:val="0"/>
          <w:caps w:val="0"/>
          <w:color w:val="555555"/>
          <w:spacing w:val="0"/>
          <w:sz w:val="22"/>
          <w:szCs w:val="22"/>
          <w:bdr w:val="none" w:color="auto" w:sz="0" w:space="0"/>
          <w:shd w:val="clear" w:fill="FFFFFF"/>
        </w:rPr>
        <w:t>1.在报考专业和调剂专业，均达到国家A类考生初试成绩基本要求和我校复试基本分数线；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64" w:lineRule="atLeast"/>
        <w:ind w:left="0" w:right="0"/>
        <w:rPr>
          <w:rFonts w:hint="eastAsia" w:ascii="微软雅黑" w:hAnsi="微软雅黑" w:eastAsia="微软雅黑" w:cs="微软雅黑"/>
          <w:b w:val="0"/>
          <w:sz w:val="22"/>
          <w:szCs w:val="22"/>
        </w:rPr>
      </w:pPr>
      <w:r>
        <w:rPr>
          <w:rFonts w:hint="eastAsia" w:ascii="微软雅黑" w:hAnsi="微软雅黑" w:eastAsia="微软雅黑" w:cs="微软雅黑"/>
          <w:b w:val="0"/>
          <w:i w:val="0"/>
          <w:caps w:val="0"/>
          <w:color w:val="555555"/>
          <w:spacing w:val="0"/>
          <w:sz w:val="22"/>
          <w:szCs w:val="22"/>
          <w:bdr w:val="none" w:color="auto" w:sz="0" w:space="0"/>
          <w:shd w:val="clear" w:fill="FFFFFF"/>
        </w:rPr>
        <w:t>2.且不得低于我院接收调剂专业(方向)的调剂复试分数线，初试成绩基本要求如下：</w:t>
      </w:r>
    </w:p>
    <w:tbl>
      <w:tblPr>
        <w:tblW w:w="54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159"/>
        <w:gridCol w:w="963"/>
        <w:gridCol w:w="542"/>
        <w:gridCol w:w="501"/>
        <w:gridCol w:w="501"/>
        <w:gridCol w:w="663"/>
        <w:gridCol w:w="620"/>
        <w:gridCol w:w="5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专业代码及名称</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方向代码及名称</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总分</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政治</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外语</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业务课1</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业务课2</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rPr>
                <w:color w:val="555555"/>
                <w:sz w:val="15"/>
                <w:szCs w:val="15"/>
              </w:rPr>
            </w:pPr>
            <w:r>
              <w:rPr>
                <w:b/>
                <w:color w:val="555555"/>
                <w:sz w:val="15"/>
                <w:szCs w:val="15"/>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jc w:val="center"/>
        </w:trPr>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jc w:val="center"/>
              <w:rPr>
                <w:color w:val="555555"/>
                <w:sz w:val="15"/>
                <w:szCs w:val="15"/>
              </w:rPr>
            </w:pPr>
            <w:r>
              <w:rPr>
                <w:color w:val="555555"/>
                <w:sz w:val="15"/>
                <w:szCs w:val="15"/>
              </w:rPr>
              <w:t>100100  基础医学</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jc w:val="left"/>
              <w:rPr>
                <w:color w:val="555555"/>
                <w:sz w:val="15"/>
                <w:szCs w:val="15"/>
              </w:rPr>
            </w:pPr>
            <w:r>
              <w:rPr>
                <w:color w:val="555555"/>
                <w:sz w:val="15"/>
                <w:szCs w:val="15"/>
              </w:rPr>
              <w:t>02  免疫学</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jc w:val="center"/>
              <w:rPr>
                <w:color w:val="555555"/>
                <w:sz w:val="15"/>
                <w:szCs w:val="15"/>
              </w:rPr>
            </w:pPr>
            <w:r>
              <w:rPr>
                <w:color w:val="555555"/>
                <w:sz w:val="15"/>
                <w:szCs w:val="15"/>
              </w:rPr>
              <w:t>300</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jc w:val="center"/>
              <w:rPr>
                <w:color w:val="555555"/>
                <w:sz w:val="15"/>
                <w:szCs w:val="15"/>
              </w:rPr>
            </w:pPr>
            <w:r>
              <w:rPr>
                <w:color w:val="555555"/>
                <w:sz w:val="15"/>
                <w:szCs w:val="15"/>
              </w:rPr>
              <w:t>50</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jc w:val="center"/>
              <w:rPr>
                <w:color w:val="555555"/>
                <w:sz w:val="15"/>
                <w:szCs w:val="15"/>
              </w:rPr>
            </w:pPr>
            <w:r>
              <w:rPr>
                <w:color w:val="555555"/>
                <w:sz w:val="15"/>
                <w:szCs w:val="15"/>
              </w:rPr>
              <w:t>50</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jc w:val="center"/>
              <w:rPr>
                <w:color w:val="555555"/>
                <w:sz w:val="15"/>
                <w:szCs w:val="15"/>
              </w:rPr>
            </w:pPr>
            <w:r>
              <w:rPr>
                <w:color w:val="555555"/>
                <w:sz w:val="15"/>
                <w:szCs w:val="15"/>
              </w:rPr>
              <w:t>160</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jc w:val="center"/>
              <w:rPr>
                <w:color w:val="555555"/>
                <w:sz w:val="15"/>
                <w:szCs w:val="15"/>
              </w:rPr>
            </w:pPr>
            <w:r>
              <w:rPr>
                <w:color w:val="555555"/>
                <w:sz w:val="15"/>
                <w:szCs w:val="15"/>
              </w:rPr>
              <w:t> </w:t>
            </w:r>
          </w:p>
        </w:tc>
        <w:tc>
          <w:tcPr>
            <w:tcW w:w="0" w:type="auto"/>
            <w:shd w:val="clear" w:color="auto" w:fill="FFFFFF"/>
            <w:tcMar>
              <w:top w:w="100" w:type="dxa"/>
              <w:left w:w="140" w:type="dxa"/>
              <w:bottom w:w="100" w:type="dxa"/>
              <w:right w:w="140" w:type="dxa"/>
            </w:tcMar>
            <w:vAlign w:val="center"/>
          </w:tcPr>
          <w:p>
            <w:pPr>
              <w:pStyle w:val="4"/>
              <w:keepNext w:val="0"/>
              <w:keepLines w:val="0"/>
              <w:widowControl/>
              <w:suppressLineNumbers w:val="0"/>
              <w:spacing w:before="0" w:beforeAutospacing="0" w:after="0" w:afterAutospacing="0" w:line="315" w:lineRule="atLeast"/>
              <w:ind w:left="0" w:right="0"/>
              <w:jc w:val="center"/>
              <w:rPr>
                <w:color w:val="555555"/>
                <w:sz w:val="15"/>
                <w:szCs w:val="15"/>
              </w:rPr>
            </w:pPr>
            <w:r>
              <w:rPr>
                <w:color w:val="555555"/>
                <w:sz w:val="15"/>
                <w:szCs w:val="15"/>
              </w:rPr>
              <w:t> </w:t>
            </w:r>
          </w:p>
        </w:tc>
      </w:tr>
    </w:tbl>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（四）对考生初试科目的要求：</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1. 统考科目相同，科目为：思想政治理论，英语一或英语二。</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2. 自命题科目相同或相近。</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（五）对考生本科专业的要求：</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考生须具有国家承认的大学本科毕业学历或者已获硕士、博士学位人员（非应届毕业生）。</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（六）其他学术要求</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具有与调剂专业方向相关的科研经历、科研成果者优先。</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（七）因第一志愿报考我校生源充足，我校原则上不接受校外调剂。</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b/>
          <w:i w:val="0"/>
          <w:caps w:val="0"/>
          <w:color w:val="555555"/>
          <w:spacing w:val="0"/>
          <w:sz w:val="16"/>
          <w:szCs w:val="16"/>
          <w:shd w:val="clear" w:fill="FFFFFF"/>
        </w:rPr>
        <w:t>三、调剂程序</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1.接收调剂时间从发布通知之日起至4月11日18:00。</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2.下载并填写《2023年校内不同招生单位之间调剂硕士考生审批表》，联系本校原报考单位办理调剂转出手续（可通过邮件、微信、QQ等方式向调出单位申请，调出单位若同意则在中山大学研究生教育管理系统调出该生并告知考生结果，无须在审批表上盖章），考生须于2023年4月11日18:00前提交报名问卷https://www.wjx.cn/vm/QWzBcJX.aspx#，并扫描审批表电子版、考生个人简历、相关补充材料（包括：学生证（应届生提供）或本科毕业证和学位证（往届生提供）、大学学习成绩单、科研成果或相关论文、竞赛获奖、英语水平证明、社会服务等整合成1个PDF文件）共3个PDF文件发至邮箱：yxyky@mail.sysu.edu.cn（邮件请以名字+联系电话命名），并在邮件正文注明意向导师。</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3. 我院将综合考生的初试成绩、外语水平、科研经历、本科专业及报考专业与拟调剂专业相关性等，择优确认进入调剂复试的考生名单。在中山大学研究生教育管理系统上调入考生，并汇总报送研究生院复核。</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b/>
          <w:i w:val="0"/>
          <w:caps w:val="0"/>
          <w:color w:val="555555"/>
          <w:spacing w:val="0"/>
          <w:sz w:val="16"/>
          <w:szCs w:val="16"/>
          <w:shd w:val="clear" w:fill="FFFFFF"/>
        </w:rPr>
        <w:t>四、调剂复试</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1.获得拟调剂复试资格的考生名单将在学院网站另行公布（网址：http://szmed.sysu.edu.cn/zh-hans/teaching/inform），请各位考生留意。</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2. 调剂复试时间拟定于2023年4月12日-4月13日进行，请报名考生提前做好准备。调剂复试时间、地点等信息请密切留意我院官方网站（网址：http://szmed.sysu.edu.cn/zh-hans/teaching/inform）、全国硕士研究生招生考试网上调剂系统（https://yz.chsi.com.cn/yztj/）。</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3.调剂复试录取相关安排将与复试名单同时公布，请各位考生留意。</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4.获得调剂拟录取资格的考生须按我院规定时间内（另行通知）在全国硕士研究生招生考试网上调剂系统（https://yz.chsi.com.cn/yztj/）上按要求完成调剂志愿的报名、复试确认、录取确认。考生未在规定时间内确认的，视同放弃。</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b/>
          <w:i w:val="0"/>
          <w:caps w:val="0"/>
          <w:color w:val="555555"/>
          <w:spacing w:val="0"/>
          <w:sz w:val="16"/>
          <w:szCs w:val="16"/>
          <w:shd w:val="clear" w:fill="FFFFFF"/>
        </w:rPr>
        <w:t>五、本通知未尽事项以教育部、我校研究生院有关文件为准。</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b/>
          <w:i w:val="0"/>
          <w:caps w:val="0"/>
          <w:color w:val="555555"/>
          <w:spacing w:val="0"/>
          <w:sz w:val="16"/>
          <w:szCs w:val="16"/>
          <w:shd w:val="clear" w:fill="FFFFFF"/>
        </w:rPr>
        <w:t>六、联系方式</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冯老师，邮箱：yxyky@mail.sysu.edu.cn</w:t>
      </w:r>
    </w:p>
    <w:p>
      <w:pPr>
        <w:pStyle w:val="4"/>
        <w:keepNext w:val="0"/>
        <w:keepLines w:val="0"/>
        <w:widowControl/>
        <w:suppressLineNumbers w:val="0"/>
        <w:spacing w:before="0" w:beforeAutospacing="0" w:after="282" w:afterAutospacing="0" w:line="288" w:lineRule="atLeast"/>
        <w:ind w:left="0" w:right="0"/>
        <w:rPr>
          <w:color w:val="555555"/>
          <w:sz w:val="16"/>
          <w:szCs w:val="16"/>
        </w:rPr>
      </w:pPr>
      <w:r>
        <w:rPr>
          <w:rFonts w:hint="eastAsia" w:ascii="微软雅黑" w:hAnsi="微软雅黑" w:eastAsia="微软雅黑" w:cs="微软雅黑"/>
          <w:i w:val="0"/>
          <w:caps w:val="0"/>
          <w:color w:val="555555"/>
          <w:spacing w:val="0"/>
          <w:sz w:val="16"/>
          <w:szCs w:val="16"/>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184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2023-05-14T02:01:39Z</dcterms:created>
  <dc:creator>86188</dc:creator>
  <cp:lastModifiedBy>随风而动</cp:lastModifiedBy>
  <dcterms:modified xsi:type="dcterms:W3CDTF">2023-05-14T02:01:41Z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