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AFAFA"/>
        <w:jc w:val="center"/>
        <w:outlineLvl w:val="0"/>
        <w:rPr>
          <w:rFonts w:ascii="微软雅黑" w:hAnsi="微软雅黑" w:eastAsia="微软雅黑" w:cs="宋体"/>
          <w:color w:val="3E6FB7"/>
          <w:kern w:val="36"/>
          <w:sz w:val="45"/>
          <w:szCs w:val="45"/>
        </w:rPr>
      </w:pPr>
      <w:r>
        <w:rPr>
          <w:rFonts w:hint="eastAsia" w:ascii="微软雅黑" w:hAnsi="微软雅黑" w:eastAsia="微软雅黑" w:cs="宋体"/>
          <w:color w:val="3E6FB7"/>
          <w:kern w:val="36"/>
          <w:sz w:val="45"/>
          <w:szCs w:val="45"/>
        </w:rPr>
        <w:t>中山大学附属第八医院2023年硕士研究生调剂公告(第一轮)</w:t>
      </w:r>
    </w:p>
    <w:p>
      <w:pPr>
        <w:widowControl/>
        <w:shd w:val="clear" w:color="auto" w:fill="FAFAFA"/>
        <w:jc w:val="center"/>
        <w:rPr>
          <w:rFonts w:hint="eastAsia" w:ascii="微软雅黑" w:hAnsi="微软雅黑" w:eastAsia="微软雅黑" w:cs="宋体"/>
          <w:color w:val="616161"/>
          <w:kern w:val="0"/>
          <w:sz w:val="24"/>
          <w:szCs w:val="24"/>
        </w:rPr>
      </w:pPr>
      <w:r>
        <w:rPr>
          <w:rFonts w:hint="eastAsia" w:ascii="微软雅黑" w:hAnsi="微软雅黑" w:eastAsia="微软雅黑" w:cs="宋体"/>
          <w:color w:val="777777"/>
          <w:kern w:val="0"/>
          <w:sz w:val="24"/>
          <w:szCs w:val="24"/>
        </w:rPr>
        <w:t>稿件来源：研究生科</w:t>
      </w:r>
      <w:r>
        <w:rPr>
          <w:rFonts w:hint="eastAsia" w:ascii="微软雅黑" w:hAnsi="微软雅黑" w:eastAsia="微软雅黑" w:cs="宋体"/>
          <w:color w:val="616161"/>
          <w:kern w:val="0"/>
          <w:sz w:val="24"/>
          <w:szCs w:val="24"/>
        </w:rPr>
        <w:t> </w:t>
      </w:r>
      <w:r>
        <w:rPr>
          <w:rFonts w:hint="eastAsia" w:ascii="微软雅黑" w:hAnsi="微软雅黑" w:eastAsia="微软雅黑" w:cs="宋体"/>
          <w:color w:val="777777"/>
          <w:kern w:val="0"/>
          <w:sz w:val="24"/>
          <w:szCs w:val="24"/>
        </w:rPr>
        <w:t>发布日期：2023-03-24</w:t>
      </w:r>
      <w:r>
        <w:rPr>
          <w:rFonts w:hint="eastAsia" w:ascii="微软雅黑" w:hAnsi="微软雅黑" w:eastAsia="微软雅黑" w:cs="宋体"/>
          <w:color w:val="616161"/>
          <w:kern w:val="0"/>
          <w:sz w:val="24"/>
          <w:szCs w:val="24"/>
        </w:rPr>
        <w:t> </w:t>
      </w:r>
      <w:r>
        <w:rPr>
          <w:rFonts w:hint="eastAsia" w:ascii="微软雅黑" w:hAnsi="微软雅黑" w:eastAsia="微软雅黑" w:cs="宋体"/>
          <w:color w:val="777777"/>
          <w:kern w:val="0"/>
          <w:sz w:val="24"/>
          <w:szCs w:val="24"/>
        </w:rPr>
        <w:t>阅读次数：109</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一、接收调剂的专业(方向)、拟调剂招生计划及拟调剂复试名额</w:t>
      </w:r>
    </w:p>
    <w:tbl>
      <w:tblPr>
        <w:tblStyle w:val="6"/>
        <w:tblW w:w="10337" w:type="dxa"/>
        <w:jc w:val="center"/>
        <w:shd w:val="clear" w:color="auto" w:fill="FFFFFF"/>
        <w:tblLayout w:type="autofit"/>
        <w:tblCellMar>
          <w:top w:w="15" w:type="dxa"/>
          <w:left w:w="15" w:type="dxa"/>
          <w:bottom w:w="15" w:type="dxa"/>
          <w:right w:w="15" w:type="dxa"/>
        </w:tblCellMar>
      </w:tblPr>
      <w:tblGrid>
        <w:gridCol w:w="2487"/>
        <w:gridCol w:w="3341"/>
        <w:gridCol w:w="1577"/>
        <w:gridCol w:w="1707"/>
        <w:gridCol w:w="1225"/>
      </w:tblGrid>
      <w:tr>
        <w:tblPrEx>
          <w:shd w:val="clear" w:color="auto" w:fill="FFFFFF"/>
          <w:tblCellMar>
            <w:top w:w="15" w:type="dxa"/>
            <w:left w:w="15" w:type="dxa"/>
            <w:bottom w:w="15" w:type="dxa"/>
            <w:right w:w="15" w:type="dxa"/>
          </w:tblCellMar>
        </w:tblPrEx>
        <w:trPr>
          <w:trHeight w:val="334" w:hRule="atLeast"/>
          <w:jc w:val="center"/>
        </w:trPr>
        <w:tc>
          <w:tcPr>
            <w:tcW w:w="2487" w:type="dxa"/>
            <w:tcBorders>
              <w:top w:val="single" w:color="000000" w:sz="6" w:space="0"/>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b/>
                <w:bCs/>
                <w:color w:val="auto"/>
                <w:kern w:val="0"/>
                <w:sz w:val="16"/>
                <w:szCs w:val="16"/>
              </w:rPr>
              <w:t>接收调剂专业代码及名称</w:t>
            </w:r>
          </w:p>
        </w:tc>
        <w:tc>
          <w:tcPr>
            <w:tcW w:w="3341" w:type="dxa"/>
            <w:tcBorders>
              <w:top w:val="single" w:color="000000" w:sz="6" w:space="0"/>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b/>
                <w:bCs/>
                <w:color w:val="auto"/>
                <w:kern w:val="0"/>
                <w:sz w:val="16"/>
                <w:szCs w:val="16"/>
              </w:rPr>
              <w:t>接收调剂方向代码及名称</w:t>
            </w:r>
          </w:p>
        </w:tc>
        <w:tc>
          <w:tcPr>
            <w:tcW w:w="1577" w:type="dxa"/>
            <w:tcBorders>
              <w:top w:val="single" w:color="000000" w:sz="6" w:space="0"/>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b/>
                <w:bCs/>
                <w:color w:val="auto"/>
                <w:kern w:val="0"/>
                <w:sz w:val="16"/>
                <w:szCs w:val="16"/>
              </w:rPr>
              <w:t>拟调剂招生计划</w:t>
            </w:r>
          </w:p>
        </w:tc>
        <w:tc>
          <w:tcPr>
            <w:tcW w:w="1707" w:type="dxa"/>
            <w:tcBorders>
              <w:top w:val="single" w:color="000000" w:sz="6" w:space="0"/>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b/>
                <w:bCs/>
                <w:color w:val="auto"/>
                <w:kern w:val="0"/>
                <w:sz w:val="16"/>
                <w:szCs w:val="16"/>
              </w:rPr>
              <w:t>拟调剂复试名额</w:t>
            </w:r>
          </w:p>
        </w:tc>
        <w:tc>
          <w:tcPr>
            <w:tcW w:w="1225"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b/>
                <w:bCs/>
                <w:color w:val="auto"/>
                <w:kern w:val="0"/>
                <w:sz w:val="16"/>
                <w:szCs w:val="16"/>
              </w:rPr>
              <w:t>备注</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100100基础医学</w:t>
            </w:r>
          </w:p>
        </w:tc>
        <w:tc>
          <w:tcPr>
            <w:tcW w:w="3341"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04病理学与病理生理学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100100基础医学</w:t>
            </w:r>
          </w:p>
        </w:tc>
        <w:tc>
          <w:tcPr>
            <w:tcW w:w="3341"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J2分子医学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4</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04神经病学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07影像医学与核医学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15康复医学与理疗学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18急诊医学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31内科学（心血管病）</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5</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33内科学（呼吸系病）</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35内科学（内分泌与代谢病）</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41外科学（普外）</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42外科学（骨外）</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4</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8</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100200临床医学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44外科学（胸心外）</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100300口腔医学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02口腔临床医学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101000医学技术</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82医学检验技术</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3</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6</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学硕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105100临床医学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07临床医学（急诊医学）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专硕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105100临床医学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09临床医学（全科医学）</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专硕</w:t>
            </w:r>
          </w:p>
        </w:tc>
      </w:tr>
      <w:tr>
        <w:tblPrEx>
          <w:shd w:val="clear" w:color="auto" w:fill="FFFFFF"/>
          <w:tblCellMar>
            <w:top w:w="15" w:type="dxa"/>
            <w:left w:w="15" w:type="dxa"/>
            <w:bottom w:w="15" w:type="dxa"/>
            <w:right w:w="15" w:type="dxa"/>
          </w:tblCellMar>
        </w:tblPrEx>
        <w:trPr>
          <w:trHeight w:val="282"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105100临床医学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32内科学（血液病）</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bookmarkStart w:id="0" w:name="_GoBack"/>
            <w:bookmarkEnd w:id="0"/>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专硕</w:t>
            </w:r>
          </w:p>
        </w:tc>
      </w:tr>
      <w:tr>
        <w:tblPrEx>
          <w:shd w:val="clear" w:color="auto" w:fill="FFFFFF"/>
          <w:tblCellMar>
            <w:top w:w="15" w:type="dxa"/>
            <w:left w:w="15" w:type="dxa"/>
            <w:bottom w:w="15" w:type="dxa"/>
            <w:right w:w="15" w:type="dxa"/>
          </w:tblCellMar>
        </w:tblPrEx>
        <w:trPr>
          <w:trHeight w:val="287" w:hRule="atLeast"/>
          <w:jc w:val="center"/>
        </w:trPr>
        <w:tc>
          <w:tcPr>
            <w:tcW w:w="2487" w:type="dxa"/>
            <w:tcBorders>
              <w:top w:val="nil"/>
              <w:left w:val="single" w:color="000000" w:sz="6" w:space="0"/>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105200口腔医学</w:t>
            </w:r>
          </w:p>
        </w:tc>
        <w:tc>
          <w:tcPr>
            <w:tcW w:w="3341"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69口腔临床医学（不分方向）</w:t>
            </w:r>
          </w:p>
        </w:tc>
        <w:tc>
          <w:tcPr>
            <w:tcW w:w="157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1</w:t>
            </w:r>
          </w:p>
        </w:tc>
        <w:tc>
          <w:tcPr>
            <w:tcW w:w="1707" w:type="dxa"/>
            <w:tcBorders>
              <w:top w:val="nil"/>
              <w:left w:val="nil"/>
              <w:bottom w:val="single" w:color="000000" w:sz="6" w:space="0"/>
              <w:right w:val="single" w:color="000000" w:sz="6" w:space="0"/>
            </w:tcBorders>
            <w:shd w:val="clear" w:color="auto" w:fill="FFFFFF"/>
            <w:noWrap/>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2</w:t>
            </w:r>
          </w:p>
        </w:tc>
        <w:tc>
          <w:tcPr>
            <w:tcW w:w="122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hint="eastAsia" w:ascii="微软雅黑" w:hAnsi="微软雅黑" w:eastAsia="微软雅黑" w:cs="微软雅黑"/>
                <w:color w:val="auto"/>
                <w:kern w:val="0"/>
                <w:sz w:val="16"/>
                <w:szCs w:val="16"/>
              </w:rPr>
            </w:pPr>
            <w:r>
              <w:rPr>
                <w:rFonts w:hint="eastAsia" w:ascii="微软雅黑" w:hAnsi="微软雅黑" w:eastAsia="微软雅黑" w:cs="微软雅黑"/>
                <w:color w:val="auto"/>
                <w:kern w:val="0"/>
                <w:sz w:val="16"/>
                <w:szCs w:val="16"/>
              </w:rPr>
              <w:t>专硕</w:t>
            </w:r>
          </w:p>
        </w:tc>
      </w:tr>
    </w:tbl>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注：具体调剂复试人数以实际接收调剂复试人数为准，具体调剂招生计划以实际录取人数为准。</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rPr>
        <w:t>二、调剂要求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（一）符合教育部和学校的调剂政策要求。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（二）报考与接收调剂相应专业相同或相近专业的优秀生源。</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（三）初试科目与成绩要求：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1.在报考专业和调剂专业，均达到国家A类考生初试成绩基本要求和我校复试基本分数线；</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2.且不得低于我院接收调剂专业(方向)的调剂复试分数线，初试成绩基本要求如下：</w:t>
      </w:r>
    </w:p>
    <w:tbl>
      <w:tblPr>
        <w:tblStyle w:val="6"/>
        <w:tblW w:w="12570" w:type="dxa"/>
        <w:jc w:val="center"/>
        <w:shd w:val="clear" w:color="auto" w:fill="FFFFFF"/>
        <w:tblLayout w:type="autofit"/>
        <w:tblCellMar>
          <w:top w:w="15" w:type="dxa"/>
          <w:left w:w="15" w:type="dxa"/>
          <w:bottom w:w="15" w:type="dxa"/>
          <w:right w:w="15" w:type="dxa"/>
        </w:tblCellMar>
      </w:tblPr>
      <w:tblGrid>
        <w:gridCol w:w="3833"/>
        <w:gridCol w:w="4165"/>
        <w:gridCol w:w="1143"/>
        <w:gridCol w:w="1143"/>
        <w:gridCol w:w="1143"/>
        <w:gridCol w:w="1143"/>
      </w:tblGrid>
      <w:tr>
        <w:tblPrEx>
          <w:shd w:val="clear" w:color="auto" w:fill="FFFFFF"/>
          <w:tblCellMar>
            <w:top w:w="15" w:type="dxa"/>
            <w:left w:w="15" w:type="dxa"/>
            <w:bottom w:w="15" w:type="dxa"/>
            <w:right w:w="15" w:type="dxa"/>
          </w:tblCellMar>
        </w:tblPrEx>
        <w:trPr>
          <w:trHeight w:val="915" w:hRule="atLeast"/>
          <w:tblHeader/>
          <w:jc w:val="center"/>
        </w:trPr>
        <w:tc>
          <w:tcPr>
            <w:tcW w:w="2265"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b/>
                <w:bCs/>
                <w:color w:val="616161"/>
                <w:kern w:val="0"/>
                <w:szCs w:val="21"/>
              </w:rPr>
              <w:t>专业代码及名称</w:t>
            </w:r>
          </w:p>
        </w:tc>
        <w:tc>
          <w:tcPr>
            <w:tcW w:w="246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b/>
                <w:bCs/>
                <w:color w:val="616161"/>
                <w:kern w:val="0"/>
                <w:szCs w:val="21"/>
              </w:rPr>
              <w:t>方向代码及名称</w:t>
            </w:r>
          </w:p>
        </w:tc>
        <w:tc>
          <w:tcPr>
            <w:tcW w:w="675"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b/>
                <w:bCs/>
                <w:color w:val="616161"/>
                <w:kern w:val="0"/>
                <w:szCs w:val="21"/>
              </w:rPr>
              <w:t>总分</w:t>
            </w:r>
          </w:p>
        </w:tc>
        <w:tc>
          <w:tcPr>
            <w:tcW w:w="675"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b/>
                <w:bCs/>
                <w:color w:val="616161"/>
                <w:kern w:val="0"/>
                <w:szCs w:val="21"/>
              </w:rPr>
              <w:t>政治</w:t>
            </w:r>
          </w:p>
        </w:tc>
        <w:tc>
          <w:tcPr>
            <w:tcW w:w="675"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b/>
                <w:bCs/>
                <w:color w:val="616161"/>
                <w:kern w:val="0"/>
                <w:szCs w:val="21"/>
              </w:rPr>
              <w:t>外语</w:t>
            </w:r>
          </w:p>
        </w:tc>
        <w:tc>
          <w:tcPr>
            <w:tcW w:w="675"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b/>
                <w:bCs/>
                <w:color w:val="616161"/>
                <w:kern w:val="0"/>
                <w:szCs w:val="21"/>
              </w:rPr>
              <w:t>综合</w:t>
            </w:r>
          </w:p>
        </w:tc>
      </w:tr>
      <w:tr>
        <w:tblPrEx>
          <w:shd w:val="clear" w:color="auto" w:fill="FFFFFF"/>
          <w:tblCellMar>
            <w:top w:w="15" w:type="dxa"/>
            <w:left w:w="15" w:type="dxa"/>
            <w:bottom w:w="15" w:type="dxa"/>
            <w:right w:w="15" w:type="dxa"/>
          </w:tblCellMar>
        </w:tblPrEx>
        <w:trPr>
          <w:trHeight w:val="82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100100基础医学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04病理学与病理生理学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82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100100基础医学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J2分子医学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82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04神经病学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82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07影像医学与核医学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tblCellMar>
            <w:top w:w="15" w:type="dxa"/>
            <w:left w:w="15" w:type="dxa"/>
            <w:bottom w:w="15" w:type="dxa"/>
            <w:right w:w="15" w:type="dxa"/>
          </w:tblCellMar>
        </w:tblPrEx>
        <w:trPr>
          <w:trHeight w:val="84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15康复医学与理疗学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tblCellMar>
            <w:top w:w="15" w:type="dxa"/>
            <w:left w:w="15" w:type="dxa"/>
            <w:bottom w:w="15" w:type="dxa"/>
            <w:right w:w="15" w:type="dxa"/>
          </w:tblCellMar>
        </w:tblPrEx>
        <w:trPr>
          <w:trHeight w:val="84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18急诊医学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84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31内科学（心血管病）</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82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33内科学（呼吸系病）</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97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35内科学（内分泌与代谢病）</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tblCellMar>
            <w:top w:w="15" w:type="dxa"/>
            <w:left w:w="15" w:type="dxa"/>
            <w:bottom w:w="15" w:type="dxa"/>
            <w:right w:w="15" w:type="dxa"/>
          </w:tblCellMar>
        </w:tblPrEx>
        <w:trPr>
          <w:trHeight w:val="97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41外科学（普外）</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tblCellMar>
            <w:top w:w="15" w:type="dxa"/>
            <w:left w:w="15" w:type="dxa"/>
            <w:bottom w:w="15" w:type="dxa"/>
            <w:right w:w="15" w:type="dxa"/>
          </w:tblCellMar>
        </w:tblPrEx>
        <w:trPr>
          <w:trHeight w:val="705"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42外科学（骨外）</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84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100200临床医学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44外科学（胸心外）</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69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100300口腔医学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02口腔临床医学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69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101000医学技术</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82医学检验技术</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300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160</w:t>
            </w:r>
          </w:p>
        </w:tc>
      </w:tr>
      <w:tr>
        <w:tblPrEx>
          <w:shd w:val="clear" w:color="auto" w:fill="FFFFFF"/>
          <w:tblCellMar>
            <w:top w:w="15" w:type="dxa"/>
            <w:left w:w="15" w:type="dxa"/>
            <w:bottom w:w="15" w:type="dxa"/>
            <w:right w:w="15" w:type="dxa"/>
          </w:tblCellMar>
        </w:tblPrEx>
        <w:trPr>
          <w:trHeight w:val="69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105100临床医学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07临床医学（急诊医学）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315</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170</w:t>
            </w:r>
          </w:p>
        </w:tc>
      </w:tr>
      <w:tr>
        <w:tblPrEx>
          <w:shd w:val="clear" w:color="auto" w:fill="FFFFFF"/>
          <w:tblCellMar>
            <w:top w:w="15" w:type="dxa"/>
            <w:left w:w="15" w:type="dxa"/>
            <w:bottom w:w="15" w:type="dxa"/>
            <w:right w:w="15" w:type="dxa"/>
          </w:tblCellMar>
        </w:tblPrEx>
        <w:trPr>
          <w:trHeight w:val="69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105100临床医学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09临床医学（全科医学）</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315</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170</w:t>
            </w:r>
          </w:p>
        </w:tc>
      </w:tr>
      <w:tr>
        <w:tblPrEx>
          <w:shd w:val="clear" w:color="auto" w:fill="FFFFFF"/>
          <w:tblCellMar>
            <w:top w:w="15" w:type="dxa"/>
            <w:left w:w="15" w:type="dxa"/>
            <w:bottom w:w="15" w:type="dxa"/>
            <w:right w:w="15" w:type="dxa"/>
          </w:tblCellMar>
        </w:tblPrEx>
        <w:trPr>
          <w:trHeight w:val="69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105100临床医学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32内科学（血液病）</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315</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170</w:t>
            </w:r>
          </w:p>
        </w:tc>
      </w:tr>
      <w:tr>
        <w:tblPrEx>
          <w:shd w:val="clear" w:color="auto" w:fill="FFFFFF"/>
          <w:tblCellMar>
            <w:top w:w="15" w:type="dxa"/>
            <w:left w:w="15" w:type="dxa"/>
            <w:bottom w:w="15" w:type="dxa"/>
            <w:right w:w="15" w:type="dxa"/>
          </w:tblCellMar>
        </w:tblPrEx>
        <w:trPr>
          <w:trHeight w:val="690" w:hRule="atLeast"/>
          <w:jc w:val="center"/>
        </w:trPr>
        <w:tc>
          <w:tcPr>
            <w:tcW w:w="226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105200口腔医学</w:t>
            </w:r>
          </w:p>
        </w:tc>
        <w:tc>
          <w:tcPr>
            <w:tcW w:w="246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69口腔临床医学（不分方向）</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315</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50</w:t>
            </w:r>
          </w:p>
        </w:tc>
        <w:tc>
          <w:tcPr>
            <w:tcW w:w="675"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before="210" w:after="210"/>
              <w:jc w:val="center"/>
              <w:rPr>
                <w:rFonts w:ascii="宋体" w:hAnsi="宋体" w:eastAsia="宋体" w:cs="宋体"/>
                <w:color w:val="616161"/>
                <w:kern w:val="0"/>
                <w:sz w:val="24"/>
                <w:szCs w:val="24"/>
              </w:rPr>
            </w:pPr>
            <w:r>
              <w:rPr>
                <w:rFonts w:ascii="宋体" w:hAnsi="宋体" w:eastAsia="宋体" w:cs="宋体"/>
                <w:color w:val="616161"/>
                <w:kern w:val="0"/>
                <w:szCs w:val="21"/>
              </w:rPr>
              <w:t>170</w:t>
            </w:r>
          </w:p>
        </w:tc>
      </w:tr>
    </w:tbl>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（四）对考生初试科目的要求：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 1.统考科目相同，科目为：思想政治理论、英语一，专业学位科目必须有临床医学综合能力（西医）。</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2. 自命题科目相同或相近：学术学位考试科目须有我校自命题的基础医学综合、生物医学综合、药学综合、卫生 综合等相同或相近科目。</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（五）对考生本科专业的要求：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 考生须为全日制本科毕业生，本科毕业专业须为临床医学、公共卫生与预防医学、药学等；</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（六）其他要求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1.报考临床医学专业学位的考生可调剂到其他专业，报考其他专业（含医学学术学位）的考生不得调剂到临床医学类专业学位。</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2.第一志愿报考我院的考生，如不能或者放弃参加所报考专业方向的复试，可根据实际情况自愿申请院内其他专业方向的调剂。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参加我院复试的考生，如经过复试未被拟录取的，可根据实际情况自愿申请院内其他专业方向的调剂。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rPr>
        <w:t>三、调剂程序</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1.接收调剂时间从发布通知之日起至</w:t>
      </w:r>
      <w:r>
        <w:rPr>
          <w:rFonts w:hint="eastAsia" w:ascii="微软雅黑" w:hAnsi="微软雅黑" w:eastAsia="微软雅黑" w:cs="宋体"/>
          <w:color w:val="616161"/>
          <w:kern w:val="0"/>
          <w:sz w:val="24"/>
          <w:szCs w:val="24"/>
          <w:u w:val="single"/>
          <w:shd w:val="clear" w:color="auto" w:fill="FFFFFF"/>
        </w:rPr>
        <w:t>4月 1日 17：00前</w:t>
      </w:r>
      <w:r>
        <w:rPr>
          <w:rFonts w:hint="eastAsia" w:ascii="微软雅黑" w:hAnsi="微软雅黑" w:eastAsia="微软雅黑" w:cs="宋体"/>
          <w:color w:val="616161"/>
          <w:kern w:val="0"/>
          <w:sz w:val="24"/>
          <w:szCs w:val="24"/>
          <w:shd w:val="clear" w:color="auto" w:fill="FFFFFF"/>
        </w:rPr>
        <w:t>。</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2.下载并填写《2023年校内不同招生单位之间调剂硕士考生审批表》（附件1），考生必须联系原报考院系办理调剂转出手续，通过邮件、微信、QQ等方式向调出院系申请，调出院系若同意则在中山大学研究生教育管理系统调出该生并告知考生结果，并在审批表盖章（研究生科公章即可）；</w:t>
      </w:r>
      <w:r>
        <w:rPr>
          <w:rFonts w:hint="eastAsia" w:ascii="微软雅黑" w:hAnsi="微软雅黑" w:eastAsia="微软雅黑" w:cs="宋体"/>
          <w:color w:val="616161"/>
          <w:kern w:val="0"/>
          <w:sz w:val="24"/>
          <w:szCs w:val="24"/>
          <w:u w:val="single"/>
        </w:rPr>
        <w:t>未经调出院系同意并在研究生教育管理系统调出的考生，提交的申请调剂审批表无效</w:t>
      </w:r>
      <w:r>
        <w:rPr>
          <w:rFonts w:hint="eastAsia" w:ascii="微软雅黑" w:hAnsi="微软雅黑" w:eastAsia="微软雅黑" w:cs="宋体"/>
          <w:color w:val="616161"/>
          <w:kern w:val="0"/>
          <w:sz w:val="24"/>
          <w:szCs w:val="24"/>
        </w:rPr>
        <w:t>。</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考生必须向我院研究生科提交《2023年校内不同招生单位之间调剂硕士考生审批表》纸质版</w:t>
      </w:r>
      <w:r>
        <w:rPr>
          <w:rFonts w:hint="eastAsia" w:ascii="微软雅黑" w:hAnsi="微软雅黑" w:eastAsia="微软雅黑" w:cs="宋体"/>
          <w:color w:val="616161"/>
          <w:kern w:val="0"/>
          <w:sz w:val="24"/>
          <w:szCs w:val="24"/>
          <w:u w:val="single"/>
        </w:rPr>
        <w:t>（提交电子版无效）</w:t>
      </w:r>
      <w:r>
        <w:rPr>
          <w:rFonts w:hint="eastAsia" w:ascii="微软雅黑" w:hAnsi="微软雅黑" w:eastAsia="微软雅黑" w:cs="宋体"/>
          <w:color w:val="616161"/>
          <w:kern w:val="0"/>
          <w:sz w:val="24"/>
          <w:szCs w:val="24"/>
        </w:rPr>
        <w:t>，和 </w:t>
      </w:r>
      <w:r>
        <w:rPr>
          <w:rFonts w:hint="eastAsia" w:ascii="微软雅黑" w:hAnsi="微软雅黑" w:eastAsia="微软雅黑" w:cs="宋体"/>
          <w:color w:val="616161"/>
          <w:kern w:val="0"/>
          <w:sz w:val="24"/>
          <w:szCs w:val="24"/>
          <w:u w:val="single"/>
        </w:rPr>
        <w:t>“资格审查材料纸质版及其电子版”</w:t>
      </w:r>
      <w:r>
        <w:rPr>
          <w:rFonts w:hint="eastAsia" w:ascii="微软雅黑" w:hAnsi="微软雅黑" w:eastAsia="微软雅黑" w:cs="宋体"/>
          <w:color w:val="616161"/>
          <w:kern w:val="0"/>
          <w:sz w:val="24"/>
          <w:szCs w:val="24"/>
        </w:rPr>
        <w:t>（具体材料参照我院官网发布的硕士研究生复试录取方案），考生大学学习成绩单、毕业论文、科研成果、竞赛获奖、发表论文、社会服务、考生个人简历及本人对申请调剂专业的认识和入读计划等相关资料，以及申请调剂考生基本信息表电子版（附件2），发送邮箱：ningli@mail.sysu.edu.cn（邮件请以申请调剂+名字+联系电话命名），同时于截止时间之前快递纸质版材料到达以下地址：</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深圳市福田区福华路92号  邮政编码：518033</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中山大学附属第八医院研究生科（医院行政楼414室）</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3.由我院审核、确定拟调剂复试名单后，在中山大学研究生教育管理系统上调入考生，并将拟调剂复试名单汇总表送交研究生院复核。</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四、调剂复试</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1.获得拟调剂复试资格的考生名单将在中山大学附属第八医院官网另行公布，请各位考生留意。</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2.调剂复试时间、地点等信息请密切留意我院官方网站。</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3.调剂复试录取相关安排将与复试名单同时公布，请各位考生留意。</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五、院内调剂注意事项</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第一志愿报考附属第八医院的考生，报考专业为100200临床医学或者报考专业为105100临床医学，申请调剂到本专业内的其它方向，应该在申请调剂规定时间内，按本院复式方案要求提交材料，参加调剂复试，无需在教育部调剂系统申请调剂；若在100100基础医学、100200临床医学、105100临床医学之间申请调剂，仍需要在教育部调剂系统申请调剂。</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已提交资格审查材料的，可以不再提交资格审查材料，但仍需要下载并填写并提交《2023年校内不同招生单位之间调剂硕士考生审批表》纸质版（附件1），并发送申请调剂考生基本信息表电子版（附件2）</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六、本通知未尽事项以教育部、我校研究生院有关文件为准。</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七、其他事项说明</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就读我院的研究生除可以享受学校给予的研究生奖助金外，还可以享受我院给予的一系列奖助金：</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1.研究生生活补助：博士生3500元/月，硕士生3000元/月；</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2.优秀学子奖学金：优秀生源可以分类申请5000-20000元不等的一次性奖学金；</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 </w:t>
      </w:r>
    </w:p>
    <w:p>
      <w:pPr>
        <w:widowControl/>
        <w:shd w:val="clear" w:color="auto" w:fill="FAFAFA"/>
        <w:spacing w:before="210" w:after="210"/>
        <w:jc w:val="center"/>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欢迎优质生源申请调剂中山大学附属第八医院！</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 </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b/>
          <w:bCs/>
          <w:color w:val="616161"/>
          <w:kern w:val="0"/>
          <w:sz w:val="24"/>
          <w:szCs w:val="24"/>
          <w:shd w:val="clear" w:color="auto" w:fill="FFFFFF"/>
        </w:rPr>
        <w:t>联系方式</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联 系 人：研究生科宁黎</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联系电话：0755-82575354</w:t>
      </w:r>
    </w:p>
    <w:p>
      <w:pPr>
        <w:widowControl/>
        <w:shd w:val="clear" w:color="auto" w:fill="FAFAFA"/>
        <w:spacing w:before="210" w:after="210"/>
        <w:ind w:firstLine="480"/>
        <w:jc w:val="lef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电子邮箱：ningli@mail.sysu.edu.cn</w:t>
      </w:r>
    </w:p>
    <w:p>
      <w:pPr>
        <w:widowControl/>
        <w:shd w:val="clear" w:color="auto" w:fill="FAFAFA"/>
        <w:spacing w:before="210" w:after="210"/>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rPr>
        <w:t> </w:t>
      </w:r>
    </w:p>
    <w:p>
      <w:pPr>
        <w:widowControl/>
        <w:shd w:val="clear" w:color="auto" w:fill="FAFAFA"/>
        <w:spacing w:before="210" w:after="210"/>
        <w:ind w:firstLine="640"/>
        <w:jc w:val="righ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 中山大学附属第八医院</w:t>
      </w:r>
    </w:p>
    <w:p>
      <w:pPr>
        <w:widowControl/>
        <w:shd w:val="clear" w:color="auto" w:fill="FAFAFA"/>
        <w:spacing w:before="210" w:after="210"/>
        <w:ind w:right="165" w:firstLine="640"/>
        <w:jc w:val="right"/>
        <w:rPr>
          <w:rFonts w:hint="eastAsia" w:ascii="微软雅黑" w:hAnsi="微软雅黑" w:eastAsia="微软雅黑" w:cs="宋体"/>
          <w:color w:val="616161"/>
          <w:kern w:val="0"/>
          <w:sz w:val="24"/>
          <w:szCs w:val="24"/>
        </w:rPr>
      </w:pPr>
      <w:r>
        <w:rPr>
          <w:rFonts w:hint="eastAsia" w:ascii="微软雅黑" w:hAnsi="微软雅黑" w:eastAsia="微软雅黑" w:cs="宋体"/>
          <w:color w:val="616161"/>
          <w:kern w:val="0"/>
          <w:sz w:val="24"/>
          <w:szCs w:val="24"/>
          <w:shd w:val="clear" w:color="auto" w:fill="FFFFFF"/>
        </w:rPr>
        <w:t>2023年 3 月 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620B9D"/>
    <w:rsid w:val="002973C1"/>
    <w:rsid w:val="00620B9D"/>
    <w:rsid w:val="00797C23"/>
    <w:rsid w:val="00BC0CBB"/>
    <w:rsid w:val="26FD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标题 1 Char"/>
    <w:basedOn w:val="7"/>
    <w:link w:val="2"/>
    <w:uiPriority w:val="9"/>
    <w:rPr>
      <w:rFonts w:ascii="宋体" w:hAnsi="宋体" w:eastAsia="宋体" w:cs="宋体"/>
      <w:b/>
      <w:bCs/>
      <w:kern w:val="36"/>
      <w:sz w:val="48"/>
      <w:szCs w:val="48"/>
    </w:rPr>
  </w:style>
  <w:style w:type="paragraph" w:customStyle="1" w:styleId="11">
    <w:name w:val="text-align-center"/>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2461</Words>
  <Characters>2962</Characters>
  <Lines>23</Lines>
  <Paragraphs>6</Paragraphs>
  <TotalTime>0</TotalTime>
  <ScaleCrop>false</ScaleCrop>
  <LinksUpToDate>false</LinksUpToDate>
  <CharactersWithSpaces>2982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2023-03-24T06:39:00Z</dcterms:created>
  <dc:creator>Lenovo</dc:creator>
  <cp:lastModifiedBy>陈桉</cp:lastModifiedBy>
  <dcterms:modified xsi:type="dcterms:W3CDTF">2023-07-10T02:01:28Z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17BCA04F016C467989548073421D73B8_12</vt:lpwstr>
  </property>
</Properties>
</file>