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FEE"/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  <w:bdr w:val="none" w:color="auto" w:sz="0" w:space="0"/>
          <w:shd w:val="clear" w:fill="F7FFEE"/>
        </w:rPr>
        <w:t>临沂大学2023年生物医学工程专业硕士研究生招生调剂系统开放公告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FEE"/>
        <w:spacing w:before="0" w:beforeAutospacing="0" w:after="0" w:afterAutospacing="0" w:line="1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7FFEE"/>
        </w:rPr>
        <w:t>时间：2023-04-05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  <w:shd w:val="clear" w:fill="F7FFEE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7FFEE"/>
        </w:rPr>
        <w:t>作者：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  <w:shd w:val="clear" w:fill="F7FFEE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7FFEE"/>
        </w:rPr>
        <w:t>来源：物理与电子工程学院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  <w:shd w:val="clear" w:fill="F7FFEE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7FFEE"/>
        </w:rPr>
        <w:t>浏览：328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040000"/>
          <w:spacing w:val="0"/>
          <w:kern w:val="0"/>
          <w:sz w:val="18"/>
          <w:szCs w:val="18"/>
          <w:bdr w:val="none" w:color="auto" w:sz="0" w:space="0"/>
          <w:shd w:val="clear" w:fill="F7FFEE"/>
          <w:lang w:val="en-US" w:eastAsia="zh-CN" w:bidi="ar"/>
        </w:rPr>
        <w:t>结合我校硕士研究生工作情况，我院生物医学工程专业接收调剂，现公告如下：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kern w:val="0"/>
          <w:sz w:val="18"/>
          <w:szCs w:val="18"/>
          <w:bdr w:val="none" w:color="auto" w:sz="0" w:space="0"/>
          <w:shd w:val="clear" w:fill="F7FFEE"/>
          <w:lang w:val="en-US" w:eastAsia="zh-CN" w:bidi="ar"/>
        </w:rPr>
        <w:t>调剂系统开放时间：2023年4月6日0:00---12:00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kern w:val="0"/>
          <w:sz w:val="18"/>
          <w:szCs w:val="18"/>
          <w:bdr w:val="none" w:color="auto" w:sz="0" w:space="0"/>
          <w:shd w:val="clear" w:fill="F7FFEE"/>
          <w:lang w:val="en-US" w:eastAsia="zh-CN" w:bidi="ar"/>
        </w:rPr>
        <w:t>请各位拟调剂考生登录教育部指定的“全国硕士研究生招生调剂服务系统”进行调剂，未通过系统调剂考生一律不予复试及录取。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B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2023-05-23T07:13:14Z</dcterms:created>
  <dc:creator>86188</dc:creator>
  <cp:lastModifiedBy>随风而动</cp:lastModifiedBy>
  <dcterms:modified xsi:type="dcterms:W3CDTF">2023-05-23T07:13:15Z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