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sz w:val="20"/>
          <w:szCs w:val="20"/>
        </w:rPr>
      </w:pPr>
      <w:r>
        <w:rPr>
          <w:b/>
          <w:bCs/>
          <w:i w:val="0"/>
          <w:iCs w:val="0"/>
          <w:caps w:val="0"/>
          <w:color w:val="000000"/>
          <w:spacing w:val="0"/>
          <w:sz w:val="20"/>
          <w:szCs w:val="20"/>
          <w:bdr w:val="none" w:color="auto" w:sz="0" w:space="0"/>
        </w:rPr>
        <w:t>云南中医药大学2023年全日制硕士研究生招生调剂公告</w:t>
      </w:r>
    </w:p>
    <w:p>
      <w:pPr>
        <w:pStyle w:val="3"/>
        <w:keepNext w:val="0"/>
        <w:keepLines w:val="0"/>
        <w:widowControl/>
        <w:suppressLineNumbers w:val="0"/>
        <w:pBdr>
          <w:top w:val="dashed" w:color="D8D8D8" w:sz="4" w:space="4"/>
          <w:left w:val="none" w:color="auto" w:sz="0" w:space="0"/>
          <w:bottom w:val="dashed" w:color="D8D8D8" w:sz="4" w:space="4"/>
          <w:right w:val="none" w:color="auto" w:sz="0" w:space="0"/>
        </w:pBdr>
        <w:spacing w:before="0" w:beforeAutospacing="0" w:after="0" w:afterAutospacing="0"/>
        <w:ind w:left="0" w:right="0"/>
        <w:jc w:val="center"/>
        <w:rPr>
          <w:color w:val="333333"/>
        </w:rPr>
      </w:pPr>
      <w:r>
        <w:rPr>
          <w:rFonts w:hint="eastAsia" w:ascii="宋体" w:hAnsi="宋体" w:eastAsia="宋体" w:cs="宋体"/>
          <w:i w:val="0"/>
          <w:iCs w:val="0"/>
          <w:caps w:val="0"/>
          <w:color w:val="333333"/>
          <w:spacing w:val="0"/>
          <w:sz w:val="12"/>
          <w:szCs w:val="12"/>
          <w:bdr w:val="none" w:color="auto" w:sz="0" w:space="0"/>
        </w:rPr>
        <w:t>发布日期:2023-04-04 13:47:17 浏览次数：17487 文章字号:</w:t>
      </w:r>
      <w:r>
        <w:rPr>
          <w:rFonts w:hint="eastAsia" w:ascii="宋体" w:hAnsi="宋体" w:eastAsia="宋体" w:cs="宋体"/>
          <w:i w:val="0"/>
          <w:iCs w:val="0"/>
          <w:caps w:val="0"/>
          <w:color w:val="000000"/>
          <w:spacing w:val="0"/>
          <w:sz w:val="12"/>
          <w:szCs w:val="12"/>
          <w:u w:val="none"/>
          <w:bdr w:val="none" w:color="auto" w:sz="0" w:space="0"/>
        </w:rPr>
        <w:fldChar w:fldCharType="begin"/>
      </w:r>
      <w:r>
        <w:rPr>
          <w:rFonts w:hint="eastAsia" w:ascii="宋体" w:hAnsi="宋体" w:eastAsia="宋体" w:cs="宋体"/>
          <w:i w:val="0"/>
          <w:iCs w:val="0"/>
          <w:caps w:val="0"/>
          <w:color w:val="000000"/>
          <w:spacing w:val="0"/>
          <w:sz w:val="12"/>
          <w:szCs w:val="12"/>
          <w:u w:val="none"/>
          <w:bdr w:val="none" w:color="auto" w:sz="0" w:space="0"/>
        </w:rPr>
        <w:instrText xml:space="preserve"> HYPERLINK "javascript:doZoom(12)" </w:instrText>
      </w:r>
      <w:r>
        <w:rPr>
          <w:rFonts w:hint="eastAsia" w:ascii="宋体" w:hAnsi="宋体" w:eastAsia="宋体" w:cs="宋体"/>
          <w:i w:val="0"/>
          <w:iCs w:val="0"/>
          <w:caps w:val="0"/>
          <w:color w:val="000000"/>
          <w:spacing w:val="0"/>
          <w:sz w:val="12"/>
          <w:szCs w:val="12"/>
          <w:u w:val="none"/>
          <w:bdr w:val="none" w:color="auto" w:sz="0" w:space="0"/>
        </w:rPr>
        <w:fldChar w:fldCharType="separate"/>
      </w:r>
      <w:r>
        <w:rPr>
          <w:rStyle w:val="7"/>
          <w:rFonts w:hint="eastAsia" w:ascii="宋体" w:hAnsi="宋体" w:eastAsia="宋体" w:cs="宋体"/>
          <w:i w:val="0"/>
          <w:iCs w:val="0"/>
          <w:caps w:val="0"/>
          <w:color w:val="000000"/>
          <w:spacing w:val="0"/>
          <w:sz w:val="12"/>
          <w:szCs w:val="12"/>
          <w:u w:val="none"/>
          <w:bdr w:val="none" w:color="auto" w:sz="0" w:space="0"/>
        </w:rPr>
        <w:t>小</w:t>
      </w:r>
      <w:r>
        <w:rPr>
          <w:rFonts w:hint="eastAsia" w:ascii="宋体" w:hAnsi="宋体" w:eastAsia="宋体" w:cs="宋体"/>
          <w:i w:val="0"/>
          <w:iCs w:val="0"/>
          <w:caps w:val="0"/>
          <w:color w:val="000000"/>
          <w:spacing w:val="0"/>
          <w:sz w:val="12"/>
          <w:szCs w:val="12"/>
          <w:u w:val="none"/>
          <w:bdr w:val="none" w:color="auto" w:sz="0" w:space="0"/>
        </w:rPr>
        <w:fldChar w:fldCharType="end"/>
      </w:r>
      <w:r>
        <w:rPr>
          <w:rFonts w:hint="eastAsia" w:ascii="宋体" w:hAnsi="宋体" w:eastAsia="宋体" w:cs="宋体"/>
          <w:i w:val="0"/>
          <w:iCs w:val="0"/>
          <w:caps w:val="0"/>
          <w:color w:val="000000"/>
          <w:spacing w:val="0"/>
          <w:sz w:val="12"/>
          <w:szCs w:val="12"/>
          <w:u w:val="none"/>
          <w:bdr w:val="none" w:color="auto" w:sz="0" w:space="0"/>
        </w:rPr>
        <w:fldChar w:fldCharType="begin"/>
      </w:r>
      <w:r>
        <w:rPr>
          <w:rFonts w:hint="eastAsia" w:ascii="宋体" w:hAnsi="宋体" w:eastAsia="宋体" w:cs="宋体"/>
          <w:i w:val="0"/>
          <w:iCs w:val="0"/>
          <w:caps w:val="0"/>
          <w:color w:val="000000"/>
          <w:spacing w:val="0"/>
          <w:sz w:val="12"/>
          <w:szCs w:val="12"/>
          <w:u w:val="none"/>
          <w:bdr w:val="none" w:color="auto" w:sz="0" w:space="0"/>
        </w:rPr>
        <w:instrText xml:space="preserve"> HYPERLINK "javascript:doZoom(14)" </w:instrText>
      </w:r>
      <w:r>
        <w:rPr>
          <w:rFonts w:hint="eastAsia" w:ascii="宋体" w:hAnsi="宋体" w:eastAsia="宋体" w:cs="宋体"/>
          <w:i w:val="0"/>
          <w:iCs w:val="0"/>
          <w:caps w:val="0"/>
          <w:color w:val="000000"/>
          <w:spacing w:val="0"/>
          <w:sz w:val="12"/>
          <w:szCs w:val="12"/>
          <w:u w:val="none"/>
          <w:bdr w:val="none" w:color="auto" w:sz="0" w:space="0"/>
        </w:rPr>
        <w:fldChar w:fldCharType="separate"/>
      </w:r>
      <w:r>
        <w:rPr>
          <w:rStyle w:val="7"/>
          <w:rFonts w:hint="eastAsia" w:ascii="宋体" w:hAnsi="宋体" w:eastAsia="宋体" w:cs="宋体"/>
          <w:i w:val="0"/>
          <w:iCs w:val="0"/>
          <w:caps w:val="0"/>
          <w:color w:val="000000"/>
          <w:spacing w:val="0"/>
          <w:sz w:val="12"/>
          <w:szCs w:val="12"/>
          <w:u w:val="none"/>
          <w:bdr w:val="none" w:color="auto" w:sz="0" w:space="0"/>
        </w:rPr>
        <w:t>中</w:t>
      </w:r>
      <w:r>
        <w:rPr>
          <w:rFonts w:hint="eastAsia" w:ascii="宋体" w:hAnsi="宋体" w:eastAsia="宋体" w:cs="宋体"/>
          <w:i w:val="0"/>
          <w:iCs w:val="0"/>
          <w:caps w:val="0"/>
          <w:color w:val="000000"/>
          <w:spacing w:val="0"/>
          <w:sz w:val="12"/>
          <w:szCs w:val="12"/>
          <w:u w:val="none"/>
          <w:bdr w:val="none" w:color="auto" w:sz="0" w:space="0"/>
        </w:rPr>
        <w:fldChar w:fldCharType="end"/>
      </w:r>
      <w:r>
        <w:rPr>
          <w:rFonts w:hint="eastAsia" w:ascii="宋体" w:hAnsi="宋体" w:eastAsia="宋体" w:cs="宋体"/>
          <w:i w:val="0"/>
          <w:iCs w:val="0"/>
          <w:caps w:val="0"/>
          <w:color w:val="000000"/>
          <w:spacing w:val="0"/>
          <w:sz w:val="12"/>
          <w:szCs w:val="12"/>
          <w:u w:val="none"/>
          <w:bdr w:val="none" w:color="auto" w:sz="0" w:space="0"/>
        </w:rPr>
        <w:fldChar w:fldCharType="begin"/>
      </w:r>
      <w:r>
        <w:rPr>
          <w:rFonts w:hint="eastAsia" w:ascii="宋体" w:hAnsi="宋体" w:eastAsia="宋体" w:cs="宋体"/>
          <w:i w:val="0"/>
          <w:iCs w:val="0"/>
          <w:caps w:val="0"/>
          <w:color w:val="000000"/>
          <w:spacing w:val="0"/>
          <w:sz w:val="12"/>
          <w:szCs w:val="12"/>
          <w:u w:val="none"/>
          <w:bdr w:val="none" w:color="auto" w:sz="0" w:space="0"/>
        </w:rPr>
        <w:instrText xml:space="preserve"> HYPERLINK "javascript:doZoom(16)" </w:instrText>
      </w:r>
      <w:r>
        <w:rPr>
          <w:rFonts w:hint="eastAsia" w:ascii="宋体" w:hAnsi="宋体" w:eastAsia="宋体" w:cs="宋体"/>
          <w:i w:val="0"/>
          <w:iCs w:val="0"/>
          <w:caps w:val="0"/>
          <w:color w:val="000000"/>
          <w:spacing w:val="0"/>
          <w:sz w:val="12"/>
          <w:szCs w:val="12"/>
          <w:u w:val="none"/>
          <w:bdr w:val="none" w:color="auto" w:sz="0" w:space="0"/>
        </w:rPr>
        <w:fldChar w:fldCharType="separate"/>
      </w:r>
      <w:r>
        <w:rPr>
          <w:rStyle w:val="7"/>
          <w:rFonts w:hint="eastAsia" w:ascii="宋体" w:hAnsi="宋体" w:eastAsia="宋体" w:cs="宋体"/>
          <w:i w:val="0"/>
          <w:iCs w:val="0"/>
          <w:caps w:val="0"/>
          <w:color w:val="000000"/>
          <w:spacing w:val="0"/>
          <w:sz w:val="12"/>
          <w:szCs w:val="12"/>
          <w:u w:val="none"/>
          <w:bdr w:val="none" w:color="auto" w:sz="0" w:space="0"/>
        </w:rPr>
        <w:t>大</w:t>
      </w:r>
      <w:r>
        <w:rPr>
          <w:rFonts w:hint="eastAsia" w:ascii="宋体" w:hAnsi="宋体" w:eastAsia="宋体" w:cs="宋体"/>
          <w:i w:val="0"/>
          <w:iCs w:val="0"/>
          <w:caps w:val="0"/>
          <w:color w:val="000000"/>
          <w:spacing w:val="0"/>
          <w:sz w:val="12"/>
          <w:szCs w:val="12"/>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left"/>
      </w:pPr>
      <w:r>
        <w:rPr>
          <w:rFonts w:ascii="仿宋" w:hAnsi="仿宋" w:eastAsia="仿宋" w:cs="仿宋"/>
          <w:i w:val="0"/>
          <w:iCs w:val="0"/>
          <w:caps w:val="0"/>
          <w:color w:val="000000"/>
          <w:spacing w:val="0"/>
          <w:sz w:val="32"/>
          <w:szCs w:val="32"/>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热烈欢迎您向我校提出调剂申请！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我校第一批次复试（第一志愿考生）已经结束，目前部分专业尚有复试缺额，需要接收调剂考生。现将我校2023年调剂工作的有关事项公告如下：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13"/>
        <w:jc w:val="left"/>
      </w:pPr>
      <w:r>
        <w:rPr>
          <w:rStyle w:val="6"/>
          <w:rFonts w:ascii="黑体" w:hAnsi="宋体" w:eastAsia="黑体" w:cs="黑体"/>
          <w:i w:val="0"/>
          <w:iCs w:val="0"/>
          <w:caps w:val="0"/>
          <w:color w:val="000000"/>
          <w:spacing w:val="0"/>
          <w:sz w:val="32"/>
          <w:szCs w:val="32"/>
          <w:bdr w:val="none" w:color="auto" w:sz="0" w:space="0"/>
        </w:rPr>
        <w:t>一</w:t>
      </w:r>
      <w:r>
        <w:rPr>
          <w:rStyle w:val="6"/>
          <w:rFonts w:hint="eastAsia" w:ascii="黑体" w:hAnsi="宋体" w:eastAsia="黑体" w:cs="黑体"/>
          <w:i w:val="0"/>
          <w:iCs w:val="0"/>
          <w:caps w:val="0"/>
          <w:color w:val="000000"/>
          <w:spacing w:val="0"/>
          <w:sz w:val="32"/>
          <w:szCs w:val="32"/>
          <w:bdr w:val="none" w:color="auto" w:sz="0" w:space="0"/>
        </w:rPr>
        <w:t>、调剂原则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以习近平新时代中国特色社会主义思想为指导，全面贯彻党的教育方针，以推动我校研究生招生内涵式发展为目的，以保证质量、激发各学院培养活力为导向，以优化生源结构、服务需求为重点，依法依规开展硕士研究生调剂选拔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对申请同一招生单位、同一专业、初试科目完全相同的调剂考生，应当按考生初试成绩择优遴选进入复试的考生名单。不得简单以考生提交调剂志愿的时间先后顺序等非学业水平标准作为遴选依据。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13"/>
        <w:jc w:val="left"/>
      </w:pPr>
      <w:r>
        <w:rPr>
          <w:rStyle w:val="6"/>
          <w:rFonts w:hint="eastAsia" w:ascii="黑体" w:hAnsi="宋体" w:eastAsia="黑体" w:cs="黑体"/>
          <w:i w:val="0"/>
          <w:iCs w:val="0"/>
          <w:caps w:val="0"/>
          <w:color w:val="000000"/>
          <w:spacing w:val="0"/>
          <w:sz w:val="32"/>
          <w:szCs w:val="32"/>
          <w:bdr w:val="none" w:color="auto" w:sz="0" w:space="0"/>
        </w:rPr>
        <w:t>二、调剂缺额及成绩等学术性要求</w:t>
      </w:r>
    </w:p>
    <w:tbl>
      <w:tblPr>
        <w:tblW w:w="6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4"/>
        <w:gridCol w:w="436"/>
        <w:gridCol w:w="1031"/>
        <w:gridCol w:w="674"/>
        <w:gridCol w:w="959"/>
        <w:gridCol w:w="885"/>
        <w:gridCol w:w="16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60" w:hRule="atLeast"/>
          <w:jc w:val="center"/>
        </w:trPr>
        <w:tc>
          <w:tcPr>
            <w:tcW w:w="38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等线" w:hAnsi="等线" w:eastAsia="等线" w:cs="等线"/>
                <w:sz w:val="22"/>
                <w:szCs w:val="22"/>
                <w:bdr w:val="none" w:color="auto" w:sz="0" w:space="0"/>
              </w:rPr>
              <w:t>学院代码</w:t>
            </w:r>
          </w:p>
        </w:tc>
        <w:tc>
          <w:tcPr>
            <w:tcW w:w="42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学院名称</w:t>
            </w:r>
          </w:p>
        </w:tc>
        <w:tc>
          <w:tcPr>
            <w:tcW w:w="96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专业代码-专业名称（学位类别）</w:t>
            </w:r>
          </w:p>
        </w:tc>
        <w:tc>
          <w:tcPr>
            <w:tcW w:w="71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拟调剂参加复试人数*</w:t>
            </w:r>
          </w:p>
        </w:tc>
        <w:tc>
          <w:tcPr>
            <w:tcW w:w="101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初试分数要求</w:t>
            </w:r>
          </w:p>
        </w:tc>
        <w:tc>
          <w:tcPr>
            <w:tcW w:w="92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第一志愿报考专业要求</w:t>
            </w:r>
          </w:p>
        </w:tc>
        <w:tc>
          <w:tcPr>
            <w:tcW w:w="176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学术背景要求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80" w:hRule="atLeast"/>
          <w:jc w:val="center"/>
        </w:trPr>
        <w:tc>
          <w:tcPr>
            <w:tcW w:w="380"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001</w:t>
            </w:r>
          </w:p>
        </w:tc>
        <w:tc>
          <w:tcPr>
            <w:tcW w:w="420"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基础医学院</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100501-中医基础理论（学术学位）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4</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面向全日制中医学、中西医临床医学、针灸推拿学、中医养生学、中医康复学、傣医学本科毕业生(具有本科毕业证和学位证)招生。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8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100502-中医临床基础（学术学位）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2</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面向全日制中医学、中西医临床医学、针灸推拿学、中医养生学、中医康复学、傣医学本科毕业生(具有本科毕业证和学位证)招生。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100504-方剂学（学术学位）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3</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面向全日制中医学、中西医临床医学、针灸推拿学、中医养生学、中医康复学、傣医学本科毕业生(具有本科毕业证和学位证)招生。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8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100505-中医诊断学（学术学位）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2</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面向全日制中医学、中西医临床医学、针灸推拿学、中医养生学、中医康复学、傣医学本科毕业生(具有本科毕业证和学位证)招生。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9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100601-中西医结合基础（学术学位）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32</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面向全日制中医学、中药学、药学、中西医临床医学、针灸推拿学、中医养生学、中医康复学、临床医学本科毕业生(具有本科毕业证和学位证)招生。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9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100602-中西医结合临床（学术学位）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2</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面向全日制中医学、中西医临床医学、针灸推拿学、中医养生学、中医康复学、基础医学、临床医学本科毕业生(具有本科毕业证和学位证)招生。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1006Z3-中医免疫学（学术学位）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8</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r>
              <w:rPr>
                <w:bdr w:val="none" w:color="auto" w:sz="0" w:space="0"/>
              </w:rPr>
              <w:br w:type="textWrapping"/>
            </w: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面向全日制中医学、中药学、药学、中西医临床医学、针灸推拿学、中医养生学、中医康复学、临床医学本科毕业生(具有本科毕业证和学位证)招生。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90" w:hRule="atLeast"/>
          <w:jc w:val="center"/>
        </w:trPr>
        <w:tc>
          <w:tcPr>
            <w:tcW w:w="380"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002</w:t>
            </w:r>
          </w:p>
        </w:tc>
        <w:tc>
          <w:tcPr>
            <w:tcW w:w="420"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第一临床医学院</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100506-中医内科学（学术学位）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5</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面向全日制中医学、中西医临床医学、针灸推拿学、中医养生学、中医康复学、中医儿科学、中医骨伤科学本科毕业生(具有本科毕业证和学位证)招生。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9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100507-中医外科学（学术学位）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3</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面向全日制中医学、中西医临床医学、针灸推拿学、中医养生学、中医康复学、中医儿科学、中医骨伤科学本科毕业生(具有本科毕业证和学位证)招生。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0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100508-中医骨伤科学（学术学位）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3</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面向全日制中医学、中西医临床医学、针灸推拿学、中医养生学、中医康复学、中医儿科学、中医骨伤科学本科毕业生(具有本科毕业证和学位证)招生。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9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100509-中医妇科学（学术学位）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3</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面向全日制中医学、中西医临床医学、针灸推拿学、中医养生学、中医康复学、中医儿科学、中医骨伤科学本科毕业生(具有本科毕业证和学位证)招生。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9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100511-中医五官科学（学术学位）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3</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面向全日制中医学、中西医临床医学、针灸推拿学、中医养生学、中医康复学、中医儿科学、中医骨伤科学本科毕业生(具有本科毕业证和学位证)招生。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50" w:hRule="atLeast"/>
          <w:jc w:val="center"/>
        </w:trPr>
        <w:tc>
          <w:tcPr>
            <w:tcW w:w="380"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004</w:t>
            </w:r>
          </w:p>
        </w:tc>
        <w:tc>
          <w:tcPr>
            <w:tcW w:w="420"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民族医药学院</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100513-民族医学（学术学位）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10</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仅招生全日制中医药类本科毕业生(具有本科毕业证和学位证)。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38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1008Z1-民族药学（学术学位）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11</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1007药学、1008中药学</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80" w:hRule="atLeast"/>
          <w:jc w:val="center"/>
        </w:trPr>
        <w:tc>
          <w:tcPr>
            <w:tcW w:w="380" w:type="dxa"/>
            <w:vMerge w:val="restart"/>
            <w:tcBorders>
              <w:top w:val="nil"/>
              <w:left w:val="single" w:color="auto" w:sz="8" w:space="0"/>
              <w:bottom w:val="single" w:color="000000"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005</w:t>
            </w:r>
          </w:p>
        </w:tc>
        <w:tc>
          <w:tcPr>
            <w:tcW w:w="420" w:type="dxa"/>
            <w:vMerge w:val="restart"/>
            <w:tcBorders>
              <w:top w:val="nil"/>
              <w:left w:val="nil"/>
              <w:bottom w:val="single" w:color="000000"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中药学院</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105500-药学（专业学位）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22</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1007药学、1008中药学、1055药学、1056中药学</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80" w:hRule="atLeast"/>
          <w:jc w:val="center"/>
        </w:trPr>
        <w:tc>
          <w:tcPr>
            <w:tcW w:w="380"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105600-中药学（专业学位）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74</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1007药学、1008中药学、1055药学、1056中药学</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00" w:hRule="atLeast"/>
          <w:jc w:val="center"/>
        </w:trPr>
        <w:tc>
          <w:tcPr>
            <w:tcW w:w="380"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420" w:type="dxa"/>
            <w:vMerge w:val="continue"/>
            <w:tcBorders>
              <w:top w:val="nil"/>
              <w:left w:val="nil"/>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086000-生物与医药（专业学位）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4</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0860生物与医药、0831生物医学工程、0832食品科学与工程、0836生物工程</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面向全日制本科毕业生(具有本科毕业证和学位证)招生。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00" w:hRule="atLeast"/>
          <w:jc w:val="center"/>
        </w:trPr>
        <w:tc>
          <w:tcPr>
            <w:tcW w:w="3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008</w:t>
            </w:r>
          </w:p>
        </w:tc>
        <w:tc>
          <w:tcPr>
            <w:tcW w:w="4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人文与管理学院</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1007Z1-社会与管理药学（学术学位）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7</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1007药学、1008中药学</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面向全日制本科毕业生招生。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70" w:hRule="atLeast"/>
          <w:jc w:val="center"/>
        </w:trPr>
        <w:tc>
          <w:tcPr>
            <w:tcW w:w="3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009</w:t>
            </w:r>
          </w:p>
        </w:tc>
        <w:tc>
          <w:tcPr>
            <w:tcW w:w="4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图书馆</w:t>
            </w:r>
          </w:p>
        </w:tc>
        <w:tc>
          <w:tcPr>
            <w:tcW w:w="9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22"/>
                <w:szCs w:val="22"/>
                <w:bdr w:val="none" w:color="auto" w:sz="0" w:space="0"/>
              </w:rPr>
              <w:t>1005Z2-中医人类学（学术学位）</w:t>
            </w:r>
          </w:p>
        </w:tc>
        <w:tc>
          <w:tcPr>
            <w:tcW w:w="7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等线" w:hAnsi="等线" w:eastAsia="等线" w:cs="等线"/>
                <w:sz w:val="22"/>
                <w:szCs w:val="22"/>
                <w:bdr w:val="none" w:color="auto" w:sz="0" w:space="0"/>
              </w:rPr>
              <w:t>6</w:t>
            </w:r>
          </w:p>
        </w:tc>
        <w:tc>
          <w:tcPr>
            <w:tcW w:w="101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初试总分≥300分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单科超过国家线</w:t>
            </w:r>
          </w:p>
        </w:tc>
        <w:tc>
          <w:tcPr>
            <w:tcW w:w="92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1005中医学、1006中西医结合、1057中医</w:t>
            </w:r>
          </w:p>
        </w:tc>
        <w:tc>
          <w:tcPr>
            <w:tcW w:w="176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等线" w:hAnsi="等线" w:eastAsia="等线" w:cs="等线"/>
                <w:sz w:val="22"/>
                <w:szCs w:val="22"/>
                <w:bdr w:val="none" w:color="auto" w:sz="0" w:space="0"/>
              </w:rPr>
              <w:t>面向全日制本科毕业生招生。</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711"/>
        <w:jc w:val="left"/>
      </w:pPr>
      <w:r>
        <w:rPr>
          <w:rStyle w:val="6"/>
          <w:rFonts w:hint="eastAsia" w:ascii="仿宋" w:hAnsi="仿宋" w:eastAsia="仿宋" w:cs="仿宋"/>
          <w:i w:val="0"/>
          <w:iCs w:val="0"/>
          <w:caps w:val="0"/>
          <w:color w:val="000000"/>
          <w:spacing w:val="0"/>
          <w:sz w:val="28"/>
          <w:szCs w:val="28"/>
          <w:bdr w:val="none" w:color="auto" w:sz="0" w:space="0"/>
        </w:rPr>
        <w:t>说明：拟调剂参加复试人数,非拟调剂录取人数。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left"/>
      </w:pPr>
      <w:r>
        <w:rPr>
          <w:rFonts w:hint="eastAsia" w:ascii="宋体" w:hAnsi="宋体" w:eastAsia="宋体" w:cs="宋体"/>
          <w:i w:val="0"/>
          <w:iCs w:val="0"/>
          <w:caps w:val="0"/>
          <w:color w:val="000000"/>
          <w:spacing w:val="0"/>
          <w:sz w:val="12"/>
          <w:szCs w:val="12"/>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我校2023年全日制硕士研究生“退役大学生士兵专项计划”的招生计划已完成，故不接收退役大学生专项计划考生调剂。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13"/>
        <w:jc w:val="left"/>
      </w:pPr>
      <w:r>
        <w:rPr>
          <w:rStyle w:val="6"/>
          <w:rFonts w:hint="eastAsia" w:ascii="黑体" w:hAnsi="宋体" w:eastAsia="黑体" w:cs="黑体"/>
          <w:i w:val="0"/>
          <w:iCs w:val="0"/>
          <w:caps w:val="0"/>
          <w:color w:val="000000"/>
          <w:spacing w:val="0"/>
          <w:sz w:val="32"/>
          <w:szCs w:val="32"/>
          <w:bdr w:val="none" w:color="auto" w:sz="0" w:space="0"/>
        </w:rPr>
        <w:t>三、其他调剂要求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(一)符合我校《2023年全日制硕士研究生招生简章》和《2023年全日制硕士研究生招生专业目录》中规定的调入专业的报考条件。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(二)初试成绩（含加分，下同）符合第一志愿报考专业在调入地区的全国初试成绩基本要求，并达到我校调入专业的复试成绩要求。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(四)初试科目与调入专业初试科目相同或相近，其中初试全国统一命题科目应与调入专业全国统一命题科目相同。我校仅接受初试报考“201英语（一）”的考生的调剂申请。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五)第一志愿报考照顾专业（中医学［1005］、中西医结合［1006］、中医硕士［1057］专业）的考生若调剂出本类照顾专业，其初试成绩必须达到调入地区该照顾专业所在学科门类（类别）的全国初试成绩基本要求。第一志愿报考非照顾专业的考生若调入照顾专业（中医学［1005］、中西医结合［1006］），其初试成绩必须符合调入地区对应的非照顾专业学科门类（类别）的全国初试成绩基本要求。中医学、中西医结合与中医硕士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(六)报考中医［1057］专业学位硕士研究生的考生可按相关政策调剂到其他专业，报考其他专业的考生不可调剂到中医［1057］专业学位。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(七)报考“少数民族高层次骨干人才计划”的考生不得调剂到该计划以外录取；未报考的不得调剂入该计划录取。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八)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报考普通计划的考生，符合“退役大学生士兵”专项计划报考条件的，可申请调剂到该专项计划录取，其初试成绩须符合我校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(九)我校不接受参加单独考试（含强军计划、援藏计划）考生和国防生的调剂。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(十)我校只接受全日制本科相关专业考生的调剂申请。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(十一)我校第一志愿不招收住院医师规范化培训在培学员，也不接收住院医师规范化培训在培学员的调剂。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4"/>
        <w:jc w:val="left"/>
      </w:pPr>
      <w:r>
        <w:rPr>
          <w:rFonts w:hint="eastAsia" w:ascii="仿宋" w:hAnsi="仿宋" w:eastAsia="仿宋" w:cs="仿宋"/>
          <w:i w:val="0"/>
          <w:iCs w:val="0"/>
          <w:caps w:val="0"/>
          <w:color w:val="000000"/>
          <w:spacing w:val="0"/>
          <w:sz w:val="32"/>
          <w:szCs w:val="32"/>
          <w:bdr w:val="none" w:color="auto" w:sz="0" w:space="0"/>
        </w:rPr>
        <w:t>(十二)农村订单定向免费医学生在院校培养和协议规定的服务期内，参加全日制研究生学历教育的，属违约行为。我校第一志愿不招收，也不接收此类学生的调剂。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7"/>
        <w:jc w:val="left"/>
      </w:pPr>
      <w:r>
        <w:rPr>
          <w:rStyle w:val="6"/>
          <w:rFonts w:hint="eastAsia" w:ascii="仿宋" w:hAnsi="仿宋" w:eastAsia="仿宋" w:cs="仿宋"/>
          <w:i w:val="0"/>
          <w:iCs w:val="0"/>
          <w:caps w:val="0"/>
          <w:color w:val="FF0000"/>
          <w:spacing w:val="0"/>
          <w:sz w:val="32"/>
          <w:szCs w:val="32"/>
          <w:bdr w:val="none" w:color="auto" w:sz="0" w:space="0"/>
        </w:rPr>
        <w:t>(十三)有以下情况之一的考生不在我校此次调剂选拔范围之内：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7"/>
        <w:jc w:val="left"/>
      </w:pPr>
      <w:r>
        <w:rPr>
          <w:rStyle w:val="6"/>
          <w:rFonts w:hint="eastAsia" w:ascii="仿宋" w:hAnsi="仿宋" w:eastAsia="仿宋" w:cs="仿宋"/>
          <w:i w:val="0"/>
          <w:iCs w:val="0"/>
          <w:caps w:val="0"/>
          <w:color w:val="FF0000"/>
          <w:spacing w:val="0"/>
          <w:sz w:val="32"/>
          <w:szCs w:val="32"/>
          <w:bdr w:val="none" w:color="auto" w:sz="0" w:space="0"/>
        </w:rPr>
        <w:t>1.已接受其他招生单位调剂复试通知（非第一志愿复试通知）的考生；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707"/>
        <w:jc w:val="left"/>
      </w:pPr>
      <w:r>
        <w:rPr>
          <w:rStyle w:val="6"/>
          <w:rFonts w:hint="eastAsia" w:ascii="仿宋" w:hAnsi="仿宋" w:eastAsia="仿宋" w:cs="仿宋"/>
          <w:i w:val="0"/>
          <w:iCs w:val="0"/>
          <w:caps w:val="0"/>
          <w:color w:val="FF0000"/>
          <w:spacing w:val="0"/>
          <w:sz w:val="32"/>
          <w:szCs w:val="32"/>
          <w:bdr w:val="none" w:color="auto" w:sz="0" w:space="0"/>
        </w:rPr>
        <w:t>2.已接受其他招生单位待录取通知的考生。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13"/>
        <w:jc w:val="left"/>
      </w:pPr>
      <w:r>
        <w:rPr>
          <w:rStyle w:val="6"/>
          <w:rFonts w:hint="eastAsia" w:ascii="黑体" w:hAnsi="宋体" w:eastAsia="黑体" w:cs="黑体"/>
          <w:i w:val="0"/>
          <w:iCs w:val="0"/>
          <w:caps w:val="0"/>
          <w:color w:val="000000"/>
          <w:spacing w:val="0"/>
          <w:sz w:val="32"/>
          <w:szCs w:val="32"/>
          <w:bdr w:val="none" w:color="auto" w:sz="0" w:space="0"/>
        </w:rPr>
        <w:t>四、注意事项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一)我校根据生源情况及实际复试录取情况，及时通过“全国硕士生招生调剂服务系统”（以下简称“调剂系统”）及研究生处主页公布接收调剂的专业、缺额信息及调剂要求。考生在申请调剂前，应充分了解我校的调剂工作办法，奖助、就业等方面的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(二)所有申请调剂的考生必须通过教育部指定的调剂系统进行调剂。未通过该系统调剂录取的考生一律无效。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(三)根据教育部文件精神，综合考虑我校调剂复试工作安排，</w:t>
      </w:r>
      <w:r>
        <w:rPr>
          <w:rStyle w:val="6"/>
          <w:rFonts w:hint="eastAsia" w:ascii="仿宋" w:hAnsi="仿宋" w:eastAsia="仿宋" w:cs="仿宋"/>
          <w:i w:val="0"/>
          <w:iCs w:val="0"/>
          <w:caps w:val="0"/>
          <w:color w:val="000000"/>
          <w:spacing w:val="0"/>
          <w:sz w:val="32"/>
          <w:szCs w:val="32"/>
          <w:bdr w:val="none" w:color="auto" w:sz="0" w:space="0"/>
        </w:rPr>
        <w:t>我校设定调剂系统锁定时间为36小时。</w:t>
      </w:r>
      <w:r>
        <w:rPr>
          <w:rFonts w:hint="eastAsia" w:ascii="仿宋" w:hAnsi="仿宋" w:eastAsia="仿宋" w:cs="仿宋"/>
          <w:i w:val="0"/>
          <w:iCs w:val="0"/>
          <w:caps w:val="0"/>
          <w:color w:val="000000"/>
          <w:spacing w:val="0"/>
          <w:sz w:val="32"/>
          <w:szCs w:val="32"/>
          <w:bdr w:val="none" w:color="auto" w:sz="0" w:space="0"/>
        </w:rPr>
        <w:t>请考生慎重填报调剂志愿，以免造成不符合我校调剂条件而误填报我校耽误调剂时间。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四)调剂考生应仔细核对是否符合各学院提出的接收调剂专业的报考条件，且保证提交的材料真实有效。对不符合我校调剂条件的考生，一经查实，立即取消其复试资格。若因不符合我校调剂要求或弄虚作假而造成无法复试或者无法通过上级招考部门录取检查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(五)我校将在</w:t>
      </w:r>
      <w:r>
        <w:rPr>
          <w:rStyle w:val="6"/>
          <w:rFonts w:hint="eastAsia" w:ascii="仿宋" w:hAnsi="仿宋" w:eastAsia="仿宋" w:cs="仿宋"/>
          <w:i w:val="0"/>
          <w:iCs w:val="0"/>
          <w:caps w:val="0"/>
          <w:color w:val="FF0000"/>
          <w:spacing w:val="0"/>
          <w:sz w:val="32"/>
          <w:szCs w:val="32"/>
          <w:u w:val="single"/>
          <w:bdr w:val="none" w:color="auto" w:sz="0" w:space="0"/>
        </w:rPr>
        <w:t>调剂系统关闭后</w:t>
      </w:r>
      <w:r>
        <w:rPr>
          <w:rStyle w:val="6"/>
          <w:rFonts w:hint="eastAsia" w:ascii="仿宋" w:hAnsi="仿宋" w:eastAsia="仿宋" w:cs="仿宋"/>
          <w:i w:val="0"/>
          <w:iCs w:val="0"/>
          <w:caps w:val="0"/>
          <w:color w:val="FF0000"/>
          <w:spacing w:val="0"/>
          <w:sz w:val="32"/>
          <w:szCs w:val="32"/>
          <w:bdr w:val="none" w:color="auto" w:sz="0" w:space="0"/>
        </w:rPr>
        <w:t>24小时内择优选择调剂考生进入复试</w:t>
      </w:r>
      <w:r>
        <w:rPr>
          <w:rFonts w:hint="eastAsia" w:ascii="仿宋" w:hAnsi="仿宋" w:eastAsia="仿宋" w:cs="仿宋"/>
          <w:i w:val="0"/>
          <w:iCs w:val="0"/>
          <w:caps w:val="0"/>
          <w:color w:val="000000"/>
          <w:spacing w:val="0"/>
          <w:sz w:val="32"/>
          <w:szCs w:val="32"/>
          <w:bdr w:val="none" w:color="auto" w:sz="0" w:space="0"/>
        </w:rPr>
        <w:t>，并通过研招网调剂系统向获得复试资格的考生发送复试通知，考生需在规定时间内登录该网站进行确认，</w:t>
      </w:r>
      <w:r>
        <w:rPr>
          <w:rStyle w:val="6"/>
          <w:rFonts w:hint="eastAsia" w:ascii="仿宋" w:hAnsi="仿宋" w:eastAsia="仿宋" w:cs="仿宋"/>
          <w:i w:val="0"/>
          <w:iCs w:val="0"/>
          <w:caps w:val="0"/>
          <w:color w:val="FF0000"/>
          <w:spacing w:val="0"/>
          <w:sz w:val="32"/>
          <w:szCs w:val="32"/>
          <w:bdr w:val="none" w:color="auto" w:sz="0" w:space="0"/>
        </w:rPr>
        <w:t>逾期（最长不超过12小时）将视为自动放弃。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(六)我校2023年复试采用考生到学校进行现场复试的形式，本批次调剂复试时间预计安排在4月13日。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(七)经复试合格的拟录取调剂考生，我校将通过研招网调剂系统发送待录取通知，</w:t>
      </w:r>
      <w:r>
        <w:rPr>
          <w:rStyle w:val="6"/>
          <w:rFonts w:hint="eastAsia" w:ascii="仿宋" w:hAnsi="仿宋" w:eastAsia="仿宋" w:cs="仿宋"/>
          <w:i w:val="0"/>
          <w:iCs w:val="0"/>
          <w:caps w:val="0"/>
          <w:color w:val="FF0000"/>
          <w:spacing w:val="0"/>
          <w:sz w:val="32"/>
          <w:szCs w:val="32"/>
          <w:bdr w:val="none" w:color="auto" w:sz="0" w:space="0"/>
        </w:rPr>
        <w:t>调剂考生须在规定时间内（最长不超过12小时）内进行确认，不按时接收通知的，我校将取消其拟录取资格，递补录取其他考生。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(八)我校未委托任何组织和个人代理硕士研究生招生工作。请考生按照本公告提供的联系方式与我校相关学院直接联系，谨防上当受骗。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(九)其他未尽事宜以《云南中医药大学2023年全日制硕士研究生招生复试录取办法》为准。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13"/>
        <w:jc w:val="left"/>
      </w:pPr>
      <w:r>
        <w:rPr>
          <w:rStyle w:val="6"/>
          <w:rFonts w:hint="eastAsia" w:ascii="黑体" w:hAnsi="宋体" w:eastAsia="黑体" w:cs="黑体"/>
          <w:i w:val="0"/>
          <w:iCs w:val="0"/>
          <w:caps w:val="0"/>
          <w:color w:val="000000"/>
          <w:spacing w:val="0"/>
          <w:sz w:val="32"/>
          <w:szCs w:val="32"/>
          <w:bdr w:val="none" w:color="auto" w:sz="0" w:space="0"/>
        </w:rPr>
        <w:t>五、调剂时间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仿宋" w:hAnsi="仿宋" w:eastAsia="仿宋" w:cs="仿宋"/>
          <w:i w:val="0"/>
          <w:iCs w:val="0"/>
          <w:caps w:val="0"/>
          <w:color w:val="000000"/>
          <w:spacing w:val="0"/>
          <w:sz w:val="32"/>
          <w:szCs w:val="32"/>
          <w:bdr w:val="none" w:color="auto" w:sz="0" w:space="0"/>
        </w:rPr>
        <w:t>我校接收调剂的各专业“全国硕士生招生调剂服务系统”开放时间为</w:t>
      </w:r>
      <w:r>
        <w:rPr>
          <w:rStyle w:val="6"/>
          <w:rFonts w:hint="eastAsia" w:ascii="仿宋" w:hAnsi="仿宋" w:eastAsia="仿宋" w:cs="仿宋"/>
          <w:i w:val="0"/>
          <w:iCs w:val="0"/>
          <w:caps w:val="0"/>
          <w:color w:val="000000"/>
          <w:spacing w:val="0"/>
          <w:sz w:val="32"/>
          <w:szCs w:val="32"/>
          <w:bdr w:val="none" w:color="auto" w:sz="0" w:space="0"/>
        </w:rPr>
        <w:t>4月6日（星期四）9:00-4月7日（星期五）9:00。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13"/>
        <w:jc w:val="left"/>
      </w:pPr>
      <w:r>
        <w:rPr>
          <w:rStyle w:val="6"/>
          <w:rFonts w:hint="eastAsia" w:ascii="黑体" w:hAnsi="宋体" w:eastAsia="黑体" w:cs="黑体"/>
          <w:i w:val="0"/>
          <w:iCs w:val="0"/>
          <w:caps w:val="0"/>
          <w:color w:val="000000"/>
          <w:spacing w:val="0"/>
          <w:sz w:val="32"/>
          <w:szCs w:val="32"/>
          <w:bdr w:val="none" w:color="auto" w:sz="0" w:space="0"/>
        </w:rPr>
        <w:t>六、咨询电话</w:t>
      </w:r>
    </w:p>
    <w:tbl>
      <w:tblPr>
        <w:tblW w:w="59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223"/>
        <w:gridCol w:w="1471"/>
        <w:gridCol w:w="229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20" w:hRule="atLeast"/>
        </w:trPr>
        <w:tc>
          <w:tcPr>
            <w:tcW w:w="224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sz w:val="32"/>
                <w:szCs w:val="32"/>
                <w:bdr w:val="none" w:color="auto" w:sz="0" w:space="0"/>
              </w:rPr>
              <w:t>部门</w:t>
            </w:r>
          </w:p>
        </w:tc>
        <w:tc>
          <w:tcPr>
            <w:tcW w:w="148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sz w:val="32"/>
                <w:szCs w:val="32"/>
                <w:bdr w:val="none" w:color="auto" w:sz="0" w:space="0"/>
              </w:rPr>
              <w:t>联系人</w:t>
            </w:r>
          </w:p>
        </w:tc>
        <w:tc>
          <w:tcPr>
            <w:tcW w:w="227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sz w:val="32"/>
                <w:szCs w:val="32"/>
                <w:bdr w:val="none" w:color="auto" w:sz="0" w:space="0"/>
              </w:rPr>
              <w:t>办公电话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2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基础医学院</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李老师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0871-65952483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第一临床医学院</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华老师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0871-63184632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民族医药学院</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李老师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0871-67450309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2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中药学院</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庄老师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0871-67429034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人文与管理学院</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李老师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0871-67498430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图书馆</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熊老师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0871-65918064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0" w:hRule="atLeast"/>
        </w:trPr>
        <w:tc>
          <w:tcPr>
            <w:tcW w:w="224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研究生处</w:t>
            </w:r>
          </w:p>
        </w:tc>
        <w:tc>
          <w:tcPr>
            <w:tcW w:w="148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陈老师</w:t>
            </w:r>
          </w:p>
        </w:tc>
        <w:tc>
          <w:tcPr>
            <w:tcW w:w="227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32"/>
                <w:szCs w:val="32"/>
                <w:bdr w:val="none" w:color="auto" w:sz="0" w:space="0"/>
              </w:rPr>
              <w:t>0871-65918241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left"/>
      </w:pPr>
      <w:r>
        <w:rPr>
          <w:rFonts w:hint="eastAsia" w:ascii="宋体" w:hAnsi="宋体" w:eastAsia="宋体" w:cs="宋体"/>
          <w:i w:val="0"/>
          <w:iCs w:val="0"/>
          <w:caps w:val="0"/>
          <w:color w:val="000000"/>
          <w:spacing w:val="0"/>
          <w:sz w:val="12"/>
          <w:szCs w:val="12"/>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809"/>
        <w:jc w:val="right"/>
      </w:pPr>
      <w:r>
        <w:rPr>
          <w:rFonts w:hint="eastAsia" w:ascii="仿宋" w:hAnsi="仿宋" w:eastAsia="仿宋" w:cs="仿宋"/>
          <w:i w:val="0"/>
          <w:iCs w:val="0"/>
          <w:caps w:val="0"/>
          <w:color w:val="000000"/>
          <w:spacing w:val="0"/>
          <w:sz w:val="32"/>
          <w:szCs w:val="32"/>
          <w:bdr w:val="none" w:color="auto" w:sz="0" w:space="0"/>
        </w:rPr>
        <w:t>云南中医药大学研究生处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809"/>
        <w:jc w:val="right"/>
      </w:pPr>
      <w:r>
        <w:rPr>
          <w:rFonts w:hint="eastAsia" w:ascii="仿宋" w:hAnsi="仿宋" w:eastAsia="仿宋" w:cs="仿宋"/>
          <w:i w:val="0"/>
          <w:iCs w:val="0"/>
          <w:caps w:val="0"/>
          <w:color w:val="000000"/>
          <w:spacing w:val="0"/>
          <w:sz w:val="32"/>
          <w:szCs w:val="32"/>
          <w:bdr w:val="none" w:color="auto" w:sz="0" w:space="0"/>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DD527E3"/>
    <w:rsid w:val="6DD52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2023-04-19T07:21:00Z</dcterms:created>
  <dc:creator>晴天</dc:creator>
  <cp:lastModifiedBy>晴天</cp:lastModifiedBy>
  <dcterms:modified xsi:type="dcterms:W3CDTF">2023-04-19T07:22:01Z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4F6B033CB76B4D1BAF2471FF403ED8F3_11</vt:lpwstr>
  </property>
</Properties>
</file>