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bookmarkStart w:id="0" w:name="_GoBack"/>
      <w:r>
        <w:rPr>
          <w:rFonts w:ascii="宋体" w:hAnsi="宋体" w:eastAsia="宋体" w:cs="宋体"/>
          <w:color w:val="000000"/>
          <w:kern w:val="0"/>
          <w:sz w:val="16"/>
          <w:szCs w:val="16"/>
          <w:bdr w:val="none" w:color="auto" w:sz="0" w:space="0"/>
          <w:lang w:val="en-US" w:eastAsia="zh-CN" w:bidi="ar"/>
        </w:rPr>
        <w:t>民族医药学院2023年硕士研究生招生调剂公告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时间：2023-04-06 编辑： 浏览：1758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Style w:val="5"/>
          <w:rFonts w:ascii="仿宋" w:hAnsi="仿宋" w:eastAsia="仿宋" w:cs="仿宋"/>
          <w:b/>
          <w:bCs/>
          <w:i w:val="0"/>
          <w:iCs w:val="0"/>
          <w:color w:val="666666"/>
          <w:sz w:val="19"/>
          <w:szCs w:val="19"/>
          <w:bdr w:val="none" w:color="auto" w:sz="0" w:space="0"/>
        </w:rPr>
        <w:t>一、调剂基本要求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调剂基本要求包含对考试方式、初试成绩、报考专业、考试科目等的规定，拟申请调剂的考生应符合以下基本要求：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（一）考试方式必须是全国统一考试。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（二）必须符合调入专业的报考条件，即考生必须符合《云南民族大学2023年硕士研究生招生专业目录》中拟申请调入专业的报考条件和备注栏中的有关要求。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（三）初试成绩必须符合第一志愿报考专业的B类地区全国初试成绩基本要求。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四）调入专业与第一志愿报考专业相同或相近，须在同一学科门类范围内（即专业代码前2位要一致）。原则上第一志愿报考专业与申请调入专业应在同一个一级学科或专业学位类别（即专业代码前4位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（五）考试科目要求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1.初试科目与调入专业初试科目相同或相近，各专业考试科目可查看《云南民族大学2023年硕士研究生招生专业目录》。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2.调入专业考试科目数应与调出专业考试科目数一致。</w:t>
      </w:r>
      <w:r>
        <w:rPr>
          <w:rFonts w:hint="eastAsia" w:ascii="仿宋" w:hAnsi="仿宋" w:eastAsia="仿宋" w:cs="仿宋"/>
          <w:color w:val="666666"/>
          <w:sz w:val="19"/>
          <w:szCs w:val="19"/>
          <w:bdr w:val="none" w:color="auto" w:sz="0" w:space="0"/>
        </w:rPr>
        <w:t>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3.考英语（一）（科目代码201）考生可调入考英语二（科目代码204）专业，反之不行。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（六）申请调剂考生必须为本科毕业及以上学历，不接收同等学力考生调剂。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（七）仅接受初试外语科目为英语一（科目代码201）或英语二（科目代码204）的考生。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（八）第一志愿报考“专业学位”的考生不得调剂到“学术型专业”。（报考专业代码第3位为“5”和“6”的专业即为“专业学位”）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（九）我校内部调剂的初试成绩必须符合第一志愿报考专业的B类地区全国初试成绩基本要求，且必须通过研招网调剂系统填报志愿。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（十）调剂考生即使收到我校不同专业（或方向）的复试通知，也只可确定参加一个专业（或方向）复试，否则不予录取。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十一）仅接受第一志愿报考非专项计划的考生申请调剂。此外，调剂考生还须遵守调剂程序，符合我院制定的相关调剂要求，如因专业特殊性，我院不招收色盲色弱考生。其它可见研招网调剂系统中各专业“调剂特别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（一）学院根据学科需要以及招生计划等情况，在学校调剂要求的基础上制定相关的调剂要求，并成立调剂考生选拔小组。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（二）调剂开放时间为</w:t>
      </w:r>
      <w:r>
        <w:rPr>
          <w:rStyle w:val="5"/>
          <w:rFonts w:hint="eastAsia" w:ascii="仿宋" w:hAnsi="仿宋" w:eastAsia="仿宋" w:cs="仿宋"/>
          <w:b/>
          <w:bCs/>
          <w:i w:val="0"/>
          <w:iCs w:val="0"/>
          <w:color w:val="666666"/>
          <w:sz w:val="19"/>
          <w:szCs w:val="19"/>
          <w:bdr w:val="none" w:color="auto" w:sz="0" w:space="0"/>
        </w:rPr>
        <w:t>4月7日9:00</w:t>
      </w:r>
      <w:r>
        <w:rPr>
          <w:rFonts w:hint="eastAsia" w:ascii="仿宋" w:hAnsi="仿宋" w:eastAsia="仿宋" w:cs="仿宋"/>
          <w:color w:val="666666"/>
          <w:sz w:val="19"/>
          <w:szCs w:val="19"/>
          <w:bdr w:val="none" w:color="auto" w:sz="0" w:space="0"/>
        </w:rPr>
        <w:t>。研招网调剂系统开通后，所有申请调剂的考生（包括校外调剂、校内跨院系调剂及院内调剂）请及时登录中国研究生招生信息网（https://yz.chsi.com.cn）全国硕士生招生调剂服务系统填报志愿。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我院调剂志愿锁定时间为24小时，锁定时间到达后，考生可继续填报其他志愿。考生因个人原因需要解锁调剂志愿的，可以联系我院申请解锁，并由本人在研招网调剂系统确认。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宋体" w:hAnsi="宋体" w:eastAsia="宋体" w:cs="宋体"/>
          <w:color w:val="7E7E7E"/>
          <w:sz w:val="19"/>
          <w:szCs w:val="19"/>
          <w:bdr w:val="none" w:color="auto" w:sz="0" w:space="0"/>
        </w:rPr>
        <w:t>  </w:t>
      </w:r>
      <w:r>
        <w:rPr>
          <w:rFonts w:hint="eastAsia" w:ascii="仿宋" w:hAnsi="仿宋" w:eastAsia="仿宋" w:cs="仿宋"/>
          <w:color w:val="666666"/>
          <w:sz w:val="19"/>
          <w:szCs w:val="19"/>
          <w:bdr w:val="none" w:color="auto" w:sz="0" w:space="0"/>
        </w:rPr>
        <w:t> （三）在调剂要求的基础上，学院对申请调剂的考生，根据各专业招生计划缺额及申报情况，以考生的初试总分及单科成绩、外语能力、本科所学专业及其它能反映考生综合素质的条件进行审核筛选，划线择优确定拟调剂参加复试考生人选，并对选中考生发出复试通知，考生必须在复试通知规定时间内进行回复，不及时回复的视为自动放弃，取消复试资格。回复后的考生按复试通知要求按时参加复试，我院调剂实行差额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666666"/>
          <w:sz w:val="19"/>
          <w:szCs w:val="19"/>
          <w:bdr w:val="none" w:color="auto" w:sz="0" w:space="0"/>
        </w:rPr>
        <w:t>   （四）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（五）经复试合格的调剂考生，我院将通过研招网调剂系统发送待录取通知，调剂考生须在规定时间内进行确认，不按时接受通知的，将取消其待录取资格，依次递补录取其他考生。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三、接收调剂专业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宋体" w:hAnsi="宋体" w:eastAsia="宋体" w:cs="宋体"/>
          <w:color w:val="7E7E7E"/>
          <w:sz w:val="19"/>
          <w:szCs w:val="19"/>
          <w:bdr w:val="none" w:color="auto" w:sz="0" w:space="0"/>
        </w:rPr>
        <w:t> </w:t>
      </w:r>
      <w:r>
        <w:rPr>
          <w:rFonts w:hint="eastAsia" w:ascii="仿宋" w:hAnsi="仿宋" w:eastAsia="仿宋" w:cs="仿宋"/>
          <w:color w:val="666666"/>
          <w:sz w:val="19"/>
          <w:szCs w:val="19"/>
          <w:bdr w:val="none" w:color="auto" w:sz="0" w:space="0"/>
        </w:rPr>
        <w:t> 我院根据2023年硕士研究生各专业招生计划，确定以下专业可对外接收考生调剂：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hint="eastAsia" w:ascii="仿宋" w:hAnsi="仿宋" w:eastAsia="仿宋" w:cs="仿宋"/>
          <w:color w:val="666666"/>
          <w:sz w:val="19"/>
          <w:szCs w:val="19"/>
          <w:bdr w:val="none" w:color="auto" w:sz="0" w:space="0"/>
        </w:rPr>
        <w:t> </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772"/>
        <w:gridCol w:w="2336"/>
        <w:gridCol w:w="1273"/>
        <w:gridCol w:w="1289"/>
        <w:gridCol w:w="1450"/>
        <w:gridCol w:w="12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10" w:hRule="atLeast"/>
        </w:trPr>
        <w:tc>
          <w:tcPr>
            <w:tcW w:w="4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序号</w:t>
            </w:r>
          </w:p>
        </w:tc>
        <w:tc>
          <w:tcPr>
            <w:tcW w:w="145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专业名称</w:t>
            </w:r>
          </w:p>
        </w:tc>
        <w:tc>
          <w:tcPr>
            <w:tcW w:w="79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学习方式</w:t>
            </w:r>
          </w:p>
        </w:tc>
        <w:tc>
          <w:tcPr>
            <w:tcW w:w="8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专业性质</w:t>
            </w:r>
          </w:p>
        </w:tc>
        <w:tc>
          <w:tcPr>
            <w:tcW w:w="9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拟调剂人数</w:t>
            </w:r>
          </w:p>
        </w:tc>
        <w:tc>
          <w:tcPr>
            <w:tcW w:w="78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其他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420" w:hRule="atLeast"/>
        </w:trPr>
        <w:tc>
          <w:tcPr>
            <w:tcW w:w="4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1</w:t>
            </w:r>
          </w:p>
        </w:tc>
        <w:tc>
          <w:tcPr>
            <w:tcW w:w="145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105500 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(专业学位)</w:t>
            </w:r>
          </w:p>
        </w:tc>
        <w:tc>
          <w:tcPr>
            <w:tcW w:w="79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全日制</w:t>
            </w:r>
          </w:p>
        </w:tc>
        <w:tc>
          <w:tcPr>
            <w:tcW w:w="8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专业型</w:t>
            </w:r>
          </w:p>
        </w:tc>
        <w:tc>
          <w:tcPr>
            <w:tcW w:w="9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18</w:t>
            </w:r>
          </w:p>
        </w:tc>
        <w:tc>
          <w:tcPr>
            <w:tcW w:w="780" w:type="dxa"/>
            <w:vMerge w:val="restart"/>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符合专业体检要求。</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200" w:hRule="atLeast"/>
        </w:trPr>
        <w:tc>
          <w:tcPr>
            <w:tcW w:w="48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2</w:t>
            </w:r>
          </w:p>
        </w:tc>
        <w:tc>
          <w:tcPr>
            <w:tcW w:w="145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0703Z3 化学生物学（学术学位）</w:t>
            </w:r>
          </w:p>
        </w:tc>
        <w:tc>
          <w:tcPr>
            <w:tcW w:w="79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全日制</w:t>
            </w:r>
          </w:p>
        </w:tc>
        <w:tc>
          <w:tcPr>
            <w:tcW w:w="800" w:type="dxa"/>
            <w:tcBorders>
              <w:top w:val="nil"/>
              <w:left w:val="nil"/>
              <w:bottom w:val="nil"/>
              <w:right w:val="nil"/>
            </w:tcBorders>
            <w:shd w:val="clear"/>
            <w:noWrap/>
            <w:tcMar>
              <w:top w:w="0" w:type="dxa"/>
              <w:left w:w="70" w:type="dxa"/>
              <w:bottom w:w="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仿宋" w:hAnsi="仿宋" w:eastAsia="仿宋" w:cs="仿宋"/>
                <w:color w:val="7E7E7E"/>
                <w:sz w:val="15"/>
                <w:szCs w:val="15"/>
                <w:bdr w:val="none" w:color="auto" w:sz="0" w:space="0"/>
              </w:rPr>
              <w:t>学术型</w:t>
            </w:r>
          </w:p>
        </w:tc>
        <w:tc>
          <w:tcPr>
            <w:tcW w:w="900" w:type="dxa"/>
            <w:tcBorders>
              <w:top w:val="nil"/>
              <w:left w:val="nil"/>
              <w:bottom w:val="nil"/>
              <w:right w:val="nil"/>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7E7E7E"/>
                <w:sz w:val="15"/>
                <w:szCs w:val="15"/>
                <w:bdr w:val="none" w:color="auto" w:sz="0" w:space="0"/>
              </w:rPr>
              <w:t>33</w:t>
            </w:r>
          </w:p>
        </w:tc>
        <w:tc>
          <w:tcPr>
            <w:tcW w:w="780" w:type="dxa"/>
            <w:vMerge w:val="continue"/>
            <w:tcBorders>
              <w:top w:val="nil"/>
              <w:left w:val="nil"/>
              <w:bottom w:val="nil"/>
              <w:right w:val="nil"/>
            </w:tcBorders>
            <w:shd w:val="clear"/>
            <w:tcMar>
              <w:top w:w="0" w:type="dxa"/>
              <w:left w:w="0" w:type="dxa"/>
              <w:bottom w:w="0" w:type="dxa"/>
              <w:right w:w="0"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Style w:val="5"/>
          <w:rFonts w:hint="eastAsia" w:ascii="仿宋" w:hAnsi="仿宋" w:eastAsia="仿宋" w:cs="仿宋"/>
          <w:b/>
          <w:bCs/>
          <w:i w:val="0"/>
          <w:iCs w:val="0"/>
          <w:color w:val="666666"/>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9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四、其他注意事项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一）考生在申请调剂前，应充分阅读、了解学校和学院的调剂公告（含各调剂专业的综合成绩计算方式、复试办法以及录取办法等），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二）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（三）未尽事宜，另行通知和安排。</w:t>
      </w:r>
      <w:r>
        <w:rPr>
          <w:rStyle w:val="5"/>
          <w:rFonts w:hint="eastAsia" w:ascii="仿宋" w:hAnsi="仿宋" w:eastAsia="仿宋" w:cs="仿宋"/>
          <w:b/>
          <w:bCs/>
          <w:i w:val="0"/>
          <w:iCs w:val="0"/>
          <w:color w:val="666666"/>
          <w:sz w:val="19"/>
          <w:szCs w:val="19"/>
          <w:bdr w:val="none" w:color="auto" w:sz="0" w:space="0"/>
        </w:rPr>
        <w:t>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Style w:val="5"/>
          <w:rFonts w:hint="eastAsia" w:ascii="仿宋" w:hAnsi="仿宋" w:eastAsia="仿宋" w:cs="仿宋"/>
          <w:b/>
          <w:bCs/>
          <w:i w:val="0"/>
          <w:iCs w:val="0"/>
          <w:color w:val="666666"/>
          <w:sz w:val="19"/>
          <w:szCs w:val="19"/>
          <w:bdr w:val="none" w:color="auto" w:sz="0" w:space="0"/>
        </w:rPr>
        <w:t>五、学院招生工作联系电话及地址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电话：0871-65926940电子信箱：617091149@qq.com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地址：云南省昆明市呈贡区月华街广靖院C区207室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仿宋" w:hAnsi="仿宋" w:eastAsia="仿宋" w:cs="仿宋"/>
          <w:color w:val="666666"/>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370"/>
        <w:jc w:val="both"/>
        <w:rPr>
          <w:color w:val="7E7E7E"/>
          <w:sz w:val="14"/>
          <w:szCs w:val="14"/>
        </w:rPr>
      </w:pPr>
      <w:r>
        <w:rPr>
          <w:rFonts w:hint="eastAsia" w:ascii="微软雅黑" w:hAnsi="微软雅黑" w:eastAsia="微软雅黑" w:cs="微软雅黑"/>
          <w:color w:val="666666"/>
          <w:sz w:val="12"/>
          <w:szCs w:val="1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840"/>
        <w:jc w:val="both"/>
        <w:rPr>
          <w:color w:val="7E7E7E"/>
          <w:sz w:val="14"/>
          <w:szCs w:val="14"/>
        </w:rPr>
      </w:pPr>
      <w:r>
        <w:rPr>
          <w:rFonts w:hint="eastAsia" w:ascii="仿宋" w:hAnsi="仿宋" w:eastAsia="仿宋" w:cs="仿宋"/>
          <w:color w:val="3E3E3E"/>
          <w:sz w:val="21"/>
          <w:szCs w:val="21"/>
          <w:bdr w:val="none" w:color="auto" w:sz="0" w:space="0"/>
          <w:shd w:val="clear" w:fill="FFFFFF"/>
        </w:rPr>
        <w:t>          民族医药学院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840"/>
        <w:jc w:val="both"/>
        <w:rPr>
          <w:color w:val="7E7E7E"/>
          <w:sz w:val="14"/>
          <w:szCs w:val="14"/>
        </w:rPr>
      </w:pPr>
      <w:r>
        <w:rPr>
          <w:rFonts w:hint="default" w:ascii="Times New Roman" w:hAnsi="Times New Roman" w:cs="Times New Roman"/>
          <w:color w:val="3E3E3E"/>
          <w:sz w:val="21"/>
          <w:szCs w:val="21"/>
          <w:bdr w:val="none" w:color="auto" w:sz="0" w:space="0"/>
          <w:shd w:val="clear" w:fill="FFFFFF"/>
        </w:rPr>
        <w:t>                     202</w:t>
      </w:r>
      <w:r>
        <w:rPr>
          <w:rFonts w:hint="default" w:ascii="Times New Roman" w:hAnsi="Times New Roman" w:eastAsia="仿宋" w:cs="Times New Roman"/>
          <w:color w:val="3E3E3E"/>
          <w:sz w:val="21"/>
          <w:szCs w:val="21"/>
          <w:bdr w:val="none" w:color="auto" w:sz="0" w:space="0"/>
          <w:shd w:val="clear" w:fill="FFFFFF"/>
        </w:rPr>
        <w:t>3</w:t>
      </w:r>
      <w:r>
        <w:rPr>
          <w:rFonts w:hint="eastAsia" w:ascii="仿宋" w:hAnsi="仿宋" w:eastAsia="仿宋" w:cs="仿宋"/>
          <w:color w:val="3E3E3E"/>
          <w:sz w:val="21"/>
          <w:szCs w:val="21"/>
          <w:bdr w:val="none" w:color="auto" w:sz="0" w:space="0"/>
          <w:shd w:val="clear" w:fill="FFFFFF"/>
        </w:rPr>
        <w:t>年</w:t>
      </w:r>
      <w:r>
        <w:rPr>
          <w:rFonts w:hint="default" w:ascii="Times New Roman" w:hAnsi="Times New Roman" w:cs="Times New Roman"/>
          <w:color w:val="3E3E3E"/>
          <w:sz w:val="21"/>
          <w:szCs w:val="21"/>
          <w:bdr w:val="none" w:color="auto" w:sz="0" w:space="0"/>
          <w:shd w:val="clear" w:fill="FFFFFF"/>
        </w:rPr>
        <w:t>4</w:t>
      </w:r>
      <w:r>
        <w:rPr>
          <w:rFonts w:hint="eastAsia" w:ascii="仿宋" w:hAnsi="仿宋" w:eastAsia="仿宋" w:cs="仿宋"/>
          <w:color w:val="3E3E3E"/>
          <w:sz w:val="21"/>
          <w:szCs w:val="21"/>
          <w:bdr w:val="none" w:color="auto" w:sz="0" w:space="0"/>
          <w:shd w:val="clear" w:fill="FFFFFF"/>
        </w:rPr>
        <w:t>月</w:t>
      </w:r>
      <w:r>
        <w:rPr>
          <w:rFonts w:hint="default" w:ascii="Times New Roman" w:hAnsi="Times New Roman" w:eastAsia="仿宋" w:cs="Times New Roman"/>
          <w:color w:val="3E3E3E"/>
          <w:sz w:val="21"/>
          <w:szCs w:val="21"/>
          <w:bdr w:val="none" w:color="auto" w:sz="0" w:space="0"/>
          <w:shd w:val="clear" w:fill="FFFFFF"/>
        </w:rPr>
        <w:t>6</w:t>
      </w:r>
      <w:r>
        <w:rPr>
          <w:rFonts w:hint="eastAsia" w:ascii="仿宋" w:hAnsi="仿宋" w:eastAsia="仿宋" w:cs="仿宋"/>
          <w:color w:val="3E3E3E"/>
          <w:sz w:val="21"/>
          <w:szCs w:val="21"/>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r>
        <w:rPr>
          <w:rFonts w:ascii="Calibri" w:hAnsi="Calibri" w:cs="Calibri"/>
          <w:color w:val="7E7E7E"/>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color w:val="7E7E7E"/>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51D1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2023-05-16T06:19:14Z</dcterms:created>
  <dc:creator>Administrator</dc:creator>
  <cp:lastModifiedBy>王英</cp:lastModifiedBy>
  <dcterms:modified xsi:type="dcterms:W3CDTF">2023-05-16T06:19:20Z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3A42F4D87E494C9CA3D6A6F57D927AEA</vt:lpwstr>
  </property>
</Properties>
</file>