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2" w:beforeAutospacing="0" w:after="100" w:afterAutospacing="0" w:line="400" w:lineRule="atLeast"/>
        <w:ind w:left="220" w:right="0"/>
        <w:jc w:val="center"/>
        <w:rPr>
          <w:color w:val="7E7E7E"/>
          <w:sz w:val="14"/>
          <w:szCs w:val="14"/>
        </w:rPr>
      </w:pPr>
      <w:bookmarkStart w:id="0" w:name="_GoBack"/>
      <w:r>
        <w:rPr>
          <w:rStyle w:val="5"/>
          <w:rFonts w:ascii="微软雅黑" w:hAnsi="微软雅黑" w:eastAsia="微软雅黑" w:cs="微软雅黑"/>
          <w:b/>
          <w:bCs/>
          <w:i w:val="0"/>
          <w:iCs w:val="0"/>
          <w:caps w:val="0"/>
          <w:color w:val="2374BD"/>
          <w:spacing w:val="0"/>
          <w:sz w:val="29"/>
          <w:szCs w:val="29"/>
          <w:bdr w:val="none" w:color="auto" w:sz="0" w:space="0"/>
          <w:shd w:val="clear" w:fill="FFFFFF"/>
        </w:rPr>
        <w:t>管理学院（会计学院）2023年硕士研究生招生调剂公告</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ascii="仿宋" w:hAnsi="仿宋" w:eastAsia="仿宋" w:cs="仿宋"/>
          <w:i w:val="0"/>
          <w:iCs w:val="0"/>
          <w:caps w:val="0"/>
          <w:color w:val="666666"/>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Style w:val="5"/>
          <w:rFonts w:hint="eastAsia" w:ascii="仿宋" w:hAnsi="仿宋" w:eastAsia="仿宋" w:cs="仿宋"/>
          <w:b/>
          <w:bCs/>
          <w:i w:val="0"/>
          <w:iCs w:val="0"/>
          <w:caps w:val="0"/>
          <w:color w:val="666666"/>
          <w:spacing w:val="0"/>
          <w:sz w:val="19"/>
          <w:szCs w:val="19"/>
          <w:bdr w:val="none" w:color="auto" w:sz="0" w:space="0"/>
          <w:shd w:val="clear" w:fill="FFFFFF"/>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调剂基本要求包含对考试方式、初试成绩、报考专业、考试科目等的规定，拟申请调剂的考生应符合以下基本要求：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（一）考试方式必须是全国统一考试。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（二）必须符合调入专业的报考条件，即考生必须符合《云南民族大学2023年硕士研究生招生专业目录》中拟申请调入专业的报考条件和备注栏中的有关要求。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（三）初试成绩必须符合第一志愿报考专业的B类地区全国初试成绩基本要求。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（四）调入专业与第一志愿报考专业相同或相近，须在同一学科门类范围内（即专业代码前2位要一致）。原则上一志愿报考专业与申请调入专业应在同一个一级学科或专业学位类别（即专业代码前4位要一致）。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（五）考试科目要求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1.初试科目与调入专业初试科目相同或相近，其中初试全国统一命题科目应与调入专业全国统一命题科目相同，一志愿专业无统考科目的，不得申请调入有统考科目的相关专业；一志愿专业有自命题科目的，应与申请调入专业自命题科目相同或相近。我院各专业考试科目可查看《云南民族大学2023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Style w:val="5"/>
          <w:rFonts w:hint="eastAsia" w:ascii="仿宋" w:hAnsi="仿宋" w:eastAsia="仿宋" w:cs="仿宋"/>
          <w:b/>
          <w:bCs/>
          <w:i w:val="0"/>
          <w:iCs w:val="0"/>
          <w:caps w:val="0"/>
          <w:color w:val="666666"/>
          <w:spacing w:val="0"/>
          <w:sz w:val="19"/>
          <w:szCs w:val="19"/>
          <w:bdr w:val="none" w:color="auto" w:sz="0" w:space="0"/>
          <w:shd w:val="clear" w:fill="FFFFFF"/>
        </w:rPr>
        <w:t>2.调入专业考试科目数应与调出专业考试科目数一致。</w:t>
      </w:r>
      <w:r>
        <w:rPr>
          <w:rFonts w:hint="eastAsia" w:ascii="仿宋" w:hAnsi="仿宋" w:eastAsia="仿宋" w:cs="仿宋"/>
          <w:i w:val="0"/>
          <w:iCs w:val="0"/>
          <w:caps w:val="0"/>
          <w:color w:val="666666"/>
          <w:spacing w:val="0"/>
          <w:sz w:val="19"/>
          <w:szCs w:val="19"/>
          <w:bdr w:val="none" w:color="auto" w:sz="0" w:space="0"/>
          <w:shd w:val="clear" w:fill="FFFFFF"/>
        </w:rPr>
        <w:t>即：考试科目为3科的考生只能调入考试科目为3科的专业，考试科目为4科的考生只能调入考试科目为4科的专业。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3.考英语（一）（科目代码201）考生可调入考英语二（科目代码204）专业，反之不行。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4.</w:t>
      </w:r>
      <w:r>
        <w:rPr>
          <w:rFonts w:ascii="Arial" w:hAnsi="Arial" w:cs="Arial"/>
          <w:i w:val="0"/>
          <w:iCs w:val="0"/>
          <w:caps w:val="0"/>
          <w:color w:val="7E7E7E"/>
          <w:spacing w:val="0"/>
          <w:sz w:val="14"/>
          <w:szCs w:val="14"/>
          <w:bdr w:val="none" w:color="auto" w:sz="0" w:space="0"/>
          <w:shd w:val="clear" w:fill="FFFFFF"/>
        </w:rPr>
        <w:t> </w:t>
      </w:r>
      <w:r>
        <w:rPr>
          <w:rFonts w:hint="eastAsia" w:ascii="仿宋" w:hAnsi="仿宋" w:eastAsia="仿宋" w:cs="仿宋"/>
          <w:i w:val="0"/>
          <w:iCs w:val="0"/>
          <w:caps w:val="0"/>
          <w:color w:val="666666"/>
          <w:spacing w:val="0"/>
          <w:sz w:val="19"/>
          <w:szCs w:val="19"/>
          <w:bdr w:val="none" w:color="auto" w:sz="0" w:space="0"/>
          <w:shd w:val="clear" w:fill="FFFFFF"/>
        </w:rPr>
        <w:t>考数学（一）（科目代码301）考生可调入考数学（二）（科目代码302）、数学（三）（科目代码303），考数学（二）（科目代码302）考生可调入考数学（三）（科目代码303），反之不行。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注：未考统考数学考生不得申请调入我院初试科目含统考数学的专业。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（六）申请调剂考生必须为本科毕业及以上学历，不接收同等学力考生调剂。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（七）我院仅接受初试外语科目为英语一（科目代码201）或英语二（科目代码204）的考生，不接收外国语考试科目为非英语考生的申请调剂。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（八）第一志愿报考“专业学位”的考生不得调剂到“学术型专业”。（报考专业代码第3位为“5”和“6”的专业即为“专业学位”）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（九）第一志愿报考我校、申请调剂到我院的考生，也必须符合第一志愿报考专业的B类地区全国初试成绩基本要求，且必须通过研招网调剂系统填报志愿。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（十）调剂考生申请调剂我校的，即使收到我校不同专业（或方向）的复试通知，也只可确定参加一个专业（或方向）复试，否则不予录取。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（十一）我校仅接受一志愿报考非专项计划的考生申请调剂。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Style w:val="5"/>
          <w:rFonts w:hint="eastAsia" w:ascii="仿宋" w:hAnsi="仿宋" w:eastAsia="仿宋" w:cs="仿宋"/>
          <w:b/>
          <w:bCs/>
          <w:i w:val="0"/>
          <w:iCs w:val="0"/>
          <w:caps w:val="0"/>
          <w:color w:val="666666"/>
          <w:spacing w:val="0"/>
          <w:sz w:val="19"/>
          <w:szCs w:val="19"/>
          <w:bdr w:val="none" w:color="auto" w:sz="0" w:space="0"/>
          <w:shd w:val="clear" w:fill="FFFFFF"/>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（一）学院根据学科需要以及招生计划等情况，在学校调剂要求的基础上制定相关的调剂要求，并成立调剂考生选拔小组。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（二）学院调剂申请开放时间为</w:t>
      </w:r>
      <w:r>
        <w:rPr>
          <w:rStyle w:val="5"/>
          <w:rFonts w:hint="eastAsia" w:ascii="仿宋" w:hAnsi="仿宋" w:eastAsia="仿宋" w:cs="仿宋"/>
          <w:b/>
          <w:bCs/>
          <w:i w:val="0"/>
          <w:iCs w:val="0"/>
          <w:caps w:val="0"/>
          <w:color w:val="FF0000"/>
          <w:spacing w:val="0"/>
          <w:sz w:val="19"/>
          <w:szCs w:val="19"/>
          <w:bdr w:val="none" w:color="auto" w:sz="0" w:space="0"/>
          <w:shd w:val="clear" w:fill="FFFFFF"/>
        </w:rPr>
        <w:t>2023年4月7日9:00-21:00</w:t>
      </w:r>
      <w:r>
        <w:rPr>
          <w:rFonts w:hint="eastAsia" w:ascii="仿宋" w:hAnsi="仿宋" w:eastAsia="仿宋" w:cs="仿宋"/>
          <w:i w:val="0"/>
          <w:iCs w:val="0"/>
          <w:caps w:val="0"/>
          <w:color w:val="666666"/>
          <w:spacing w:val="0"/>
          <w:sz w:val="19"/>
          <w:szCs w:val="19"/>
          <w:bdr w:val="none" w:color="auto" w:sz="0" w:space="0"/>
          <w:shd w:val="clear" w:fill="FFFFFF"/>
        </w:rPr>
        <w:t>。研招网调剂系统开通后，所有申请调剂的考生（包括校外调剂、校内跨院系调剂及院内调剂）请及时登录中国研究生招生信息网（https://yz.chsi.com.cn）全国硕士生招生调剂服务系统填报志愿。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left"/>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我院调剂志愿锁定时间为24小时，锁定时间到达后，考生可继续填报其他志愿。考生因个人原因需要解锁调剂志愿的，可以联系我院申请解锁，并由本人在研招网调剂系统确认。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left"/>
        <w:rPr>
          <w:color w:val="7E7E7E"/>
          <w:sz w:val="14"/>
          <w:szCs w:val="14"/>
        </w:rPr>
      </w:pPr>
      <w:r>
        <w:rPr>
          <w:rFonts w:hint="eastAsia" w:ascii="宋体" w:hAnsi="宋体" w:eastAsia="宋体" w:cs="宋体"/>
          <w:i w:val="0"/>
          <w:iCs w:val="0"/>
          <w:caps w:val="0"/>
          <w:color w:val="000000"/>
          <w:spacing w:val="0"/>
          <w:sz w:val="19"/>
          <w:szCs w:val="19"/>
          <w:bdr w:val="none" w:color="auto" w:sz="0" w:space="0"/>
          <w:shd w:val="clear" w:fill="FFFFFF"/>
        </w:rPr>
        <w:t>  </w:t>
      </w:r>
      <w:r>
        <w:rPr>
          <w:rFonts w:hint="eastAsia" w:ascii="仿宋" w:hAnsi="仿宋" w:eastAsia="仿宋" w:cs="仿宋"/>
          <w:i w:val="0"/>
          <w:iCs w:val="0"/>
          <w:caps w:val="0"/>
          <w:color w:val="666666"/>
          <w:spacing w:val="0"/>
          <w:sz w:val="19"/>
          <w:szCs w:val="19"/>
          <w:bdr w:val="none" w:color="auto" w:sz="0" w:space="0"/>
          <w:shd w:val="clear" w:fill="FFFFFF"/>
        </w:rPr>
        <w:t> （三）根据考生的初试分数高低（初试总分相同时比较数学和英语初试成绩合计分，数学和英语初试成绩合计分也相同时比较英语初试成绩），确定进入复试的调剂考生名单。对不符合要求的考生，将及时进行解锁，缩短考生等待，减缓考生焦虑。考生必须在规定时间（最长不超过12小时）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   （四）在研招网申请调剂并已接收复试通知考生，请根据学院的具体通知要求参加复试。各调剂专业的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（五）经复试合格的调剂考生，我院将通过研招网调剂系统发送待录取通知，调剂考生须在规定时间内（最长不超过12小时）进行确认，不按时接受通知的，我院将取消其待录取资格，递补录取其他考生。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Fonts w:hint="default" w:ascii="Arial" w:hAnsi="Arial" w:cs="Arial"/>
          <w:i w:val="0"/>
          <w:iCs w:val="0"/>
          <w:caps w:val="0"/>
          <w:color w:val="000000"/>
          <w:spacing w:val="0"/>
          <w:sz w:val="14"/>
          <w:szCs w:val="1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Style w:val="5"/>
          <w:rFonts w:hint="eastAsia" w:ascii="仿宋" w:hAnsi="仿宋" w:eastAsia="仿宋" w:cs="仿宋"/>
          <w:b/>
          <w:bCs/>
          <w:i w:val="0"/>
          <w:iCs w:val="0"/>
          <w:caps w:val="0"/>
          <w:color w:val="666666"/>
          <w:spacing w:val="0"/>
          <w:sz w:val="19"/>
          <w:szCs w:val="19"/>
          <w:bdr w:val="none" w:color="auto" w:sz="0" w:space="0"/>
          <w:shd w:val="clear" w:fill="FFFFFF"/>
        </w:rPr>
        <w:t>三、接收调剂专业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Fonts w:hint="eastAsia" w:ascii="宋体" w:hAnsi="宋体" w:eastAsia="宋体" w:cs="宋体"/>
          <w:i w:val="0"/>
          <w:iCs w:val="0"/>
          <w:caps w:val="0"/>
          <w:color w:val="000000"/>
          <w:spacing w:val="0"/>
          <w:sz w:val="19"/>
          <w:szCs w:val="19"/>
          <w:bdr w:val="none" w:color="auto" w:sz="0" w:space="0"/>
          <w:shd w:val="clear" w:fill="FFFFFF"/>
        </w:rPr>
        <w:t> </w:t>
      </w:r>
      <w:r>
        <w:rPr>
          <w:rFonts w:hint="eastAsia" w:ascii="仿宋" w:hAnsi="仿宋" w:eastAsia="仿宋" w:cs="仿宋"/>
          <w:i w:val="0"/>
          <w:iCs w:val="0"/>
          <w:caps w:val="0"/>
          <w:color w:val="666666"/>
          <w:spacing w:val="0"/>
          <w:sz w:val="19"/>
          <w:szCs w:val="19"/>
          <w:bdr w:val="none" w:color="auto" w:sz="0" w:space="0"/>
          <w:shd w:val="clear" w:fill="FFFFFF"/>
        </w:rPr>
        <w:t> 学院根据2023年硕士研究生各专业招生人数，确定以下专业可对外接收考生调剂：</w:t>
      </w:r>
    </w:p>
    <w:tbl>
      <w:tblPr>
        <w:tblW w:w="5000" w:type="pct"/>
        <w:tblInd w:w="2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333"/>
        <w:gridCol w:w="2976"/>
        <w:gridCol w:w="1658"/>
        <w:gridCol w:w="1362"/>
        <w:gridCol w:w="105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trPr>
        <w:tc>
          <w:tcPr>
            <w:tcW w:w="90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序号</w:t>
            </w:r>
          </w:p>
        </w:tc>
        <w:tc>
          <w:tcPr>
            <w:tcW w:w="2010" w:type="dxa"/>
            <w:tcBorders>
              <w:top w:val="single" w:color="auto" w:sz="4" w:space="0"/>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专业名称</w:t>
            </w:r>
          </w:p>
        </w:tc>
        <w:tc>
          <w:tcPr>
            <w:tcW w:w="1120" w:type="dxa"/>
            <w:tcBorders>
              <w:top w:val="single" w:color="auto" w:sz="4" w:space="0"/>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学习方式</w:t>
            </w:r>
          </w:p>
        </w:tc>
        <w:tc>
          <w:tcPr>
            <w:tcW w:w="920" w:type="dxa"/>
            <w:tcBorders>
              <w:top w:val="single" w:color="auto" w:sz="4" w:space="0"/>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专业性质</w:t>
            </w:r>
          </w:p>
        </w:tc>
        <w:tc>
          <w:tcPr>
            <w:tcW w:w="710" w:type="dxa"/>
            <w:tcBorders>
              <w:top w:val="single" w:color="auto" w:sz="4" w:space="0"/>
              <w:left w:val="nil"/>
              <w:bottom w:val="single" w:color="auto" w:sz="4" w:space="0"/>
              <w:right w:val="single" w:color="auto"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调剂人数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trPr>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1</w:t>
            </w:r>
          </w:p>
        </w:tc>
        <w:tc>
          <w:tcPr>
            <w:tcW w:w="201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会计学</w:t>
            </w:r>
          </w:p>
        </w:tc>
        <w:tc>
          <w:tcPr>
            <w:tcW w:w="11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全日制</w:t>
            </w:r>
          </w:p>
        </w:tc>
        <w:tc>
          <w:tcPr>
            <w:tcW w:w="9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学术型</w:t>
            </w:r>
          </w:p>
        </w:tc>
        <w:tc>
          <w:tcPr>
            <w:tcW w:w="710" w:type="dxa"/>
            <w:tcBorders>
              <w:top w:val="nil"/>
              <w:left w:val="nil"/>
              <w:bottom w:val="single" w:color="auto" w:sz="4" w:space="0"/>
              <w:right w:val="single" w:color="auto"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10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trPr>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2</w:t>
            </w:r>
          </w:p>
        </w:tc>
        <w:tc>
          <w:tcPr>
            <w:tcW w:w="201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企业管理</w:t>
            </w:r>
          </w:p>
        </w:tc>
        <w:tc>
          <w:tcPr>
            <w:tcW w:w="11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全日制</w:t>
            </w:r>
          </w:p>
        </w:tc>
        <w:tc>
          <w:tcPr>
            <w:tcW w:w="9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学术型</w:t>
            </w:r>
          </w:p>
        </w:tc>
        <w:tc>
          <w:tcPr>
            <w:tcW w:w="710" w:type="dxa"/>
            <w:tcBorders>
              <w:top w:val="nil"/>
              <w:left w:val="nil"/>
              <w:bottom w:val="single" w:color="auto" w:sz="4" w:space="0"/>
              <w:right w:val="single" w:color="auto"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10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11" w:hRule="atLeast"/>
        </w:trPr>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3</w:t>
            </w:r>
          </w:p>
        </w:tc>
        <w:tc>
          <w:tcPr>
            <w:tcW w:w="201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技术经济及管理</w:t>
            </w:r>
          </w:p>
        </w:tc>
        <w:tc>
          <w:tcPr>
            <w:tcW w:w="11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全日制</w:t>
            </w:r>
          </w:p>
        </w:tc>
        <w:tc>
          <w:tcPr>
            <w:tcW w:w="9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学术型</w:t>
            </w:r>
          </w:p>
        </w:tc>
        <w:tc>
          <w:tcPr>
            <w:tcW w:w="710" w:type="dxa"/>
            <w:tcBorders>
              <w:top w:val="nil"/>
              <w:left w:val="nil"/>
              <w:bottom w:val="single" w:color="auto" w:sz="4" w:space="0"/>
              <w:right w:val="single" w:color="auto"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11" w:hRule="atLeast"/>
        </w:trPr>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4</w:t>
            </w:r>
          </w:p>
        </w:tc>
        <w:tc>
          <w:tcPr>
            <w:tcW w:w="201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资产评估</w:t>
            </w:r>
          </w:p>
        </w:tc>
        <w:tc>
          <w:tcPr>
            <w:tcW w:w="11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全日制</w:t>
            </w:r>
          </w:p>
        </w:tc>
        <w:tc>
          <w:tcPr>
            <w:tcW w:w="9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专业型</w:t>
            </w:r>
          </w:p>
        </w:tc>
        <w:tc>
          <w:tcPr>
            <w:tcW w:w="710" w:type="dxa"/>
            <w:tcBorders>
              <w:top w:val="nil"/>
              <w:left w:val="nil"/>
              <w:bottom w:val="single" w:color="auto" w:sz="4" w:space="0"/>
              <w:right w:val="single" w:color="auto"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trPr>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5</w:t>
            </w:r>
          </w:p>
        </w:tc>
        <w:tc>
          <w:tcPr>
            <w:tcW w:w="201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工商管理(全日制)</w:t>
            </w:r>
          </w:p>
        </w:tc>
        <w:tc>
          <w:tcPr>
            <w:tcW w:w="11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全日制</w:t>
            </w:r>
          </w:p>
        </w:tc>
        <w:tc>
          <w:tcPr>
            <w:tcW w:w="9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专业型</w:t>
            </w:r>
          </w:p>
        </w:tc>
        <w:tc>
          <w:tcPr>
            <w:tcW w:w="710" w:type="dxa"/>
            <w:tcBorders>
              <w:top w:val="nil"/>
              <w:left w:val="nil"/>
              <w:bottom w:val="single" w:color="auto" w:sz="4" w:space="0"/>
              <w:right w:val="single" w:color="auto"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10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1" w:hRule="atLeast"/>
        </w:trPr>
        <w:tc>
          <w:tcPr>
            <w:tcW w:w="900" w:type="dxa"/>
            <w:tcBorders>
              <w:top w:val="nil"/>
              <w:left w:val="single" w:color="auto" w:sz="4" w:space="0"/>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6"/>
                <w:szCs w:val="16"/>
                <w:bdr w:val="none" w:color="auto" w:sz="0" w:space="0"/>
              </w:rPr>
              <w:t>6</w:t>
            </w:r>
          </w:p>
        </w:tc>
        <w:tc>
          <w:tcPr>
            <w:tcW w:w="201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工商管理(非全日制)</w:t>
            </w:r>
          </w:p>
        </w:tc>
        <w:tc>
          <w:tcPr>
            <w:tcW w:w="11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非全日制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（国家重大节假日集中授课）</w:t>
            </w:r>
          </w:p>
        </w:tc>
        <w:tc>
          <w:tcPr>
            <w:tcW w:w="920" w:type="dxa"/>
            <w:tcBorders>
              <w:top w:val="nil"/>
              <w:left w:val="nil"/>
              <w:bottom w:val="single" w:color="auto" w:sz="4" w:space="0"/>
              <w:right w:val="single" w:color="auto" w:sz="4" w:space="0"/>
            </w:tcBorders>
            <w:shd w:val="clear"/>
            <w:noWrap/>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000000"/>
                <w:sz w:val="15"/>
                <w:szCs w:val="15"/>
                <w:bdr w:val="none" w:color="auto" w:sz="0" w:space="0"/>
              </w:rPr>
              <w:t>专业型</w:t>
            </w:r>
          </w:p>
        </w:tc>
        <w:tc>
          <w:tcPr>
            <w:tcW w:w="710" w:type="dxa"/>
            <w:tcBorders>
              <w:top w:val="nil"/>
              <w:left w:val="nil"/>
              <w:bottom w:val="single" w:color="auto" w:sz="4" w:space="0"/>
              <w:right w:val="single" w:color="auto"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7</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注：非全日制专业仅接收定向在职人员申请调剂，复试时须提供单位签字盖章的《定向培养合同书》。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Style w:val="5"/>
          <w:rFonts w:hint="eastAsia" w:ascii="仿宋" w:hAnsi="仿宋" w:eastAsia="仿宋" w:cs="仿宋"/>
          <w:b/>
          <w:bCs/>
          <w:i w:val="0"/>
          <w:iCs w:val="0"/>
          <w:caps w:val="0"/>
          <w:color w:val="666666"/>
          <w:spacing w:val="0"/>
          <w:sz w:val="19"/>
          <w:szCs w:val="19"/>
          <w:bdr w:val="none" w:color="auto" w:sz="0" w:space="0"/>
          <w:shd w:val="clear" w:fill="FFFFFF"/>
        </w:rPr>
        <w:t>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一）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二）调剂考生除需满足我校调剂基本要求以外，还应仔细核对是否符合调剂专业的报考条件，且保证提交的材料真实有效。对不符合我校调剂条件的考生，一经查实，立即取消其复试资格，即使已接受我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（三）未尽事宜，另行通知和安排。</w:t>
      </w:r>
      <w:r>
        <w:rPr>
          <w:rStyle w:val="5"/>
          <w:rFonts w:hint="eastAsia" w:ascii="仿宋" w:hAnsi="仿宋" w:eastAsia="仿宋" w:cs="仿宋"/>
          <w:b/>
          <w:bCs/>
          <w:i w:val="0"/>
          <w:iCs w:val="0"/>
          <w:caps w:val="0"/>
          <w:color w:val="666666"/>
          <w:spacing w:val="0"/>
          <w:sz w:val="19"/>
          <w:szCs w:val="19"/>
          <w:bdr w:val="none" w:color="auto" w:sz="0" w:space="0"/>
          <w:shd w:val="clear" w:fill="FFFFFF"/>
        </w:rPr>
        <w:t>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Style w:val="5"/>
          <w:rFonts w:hint="eastAsia" w:ascii="仿宋" w:hAnsi="仿宋" w:eastAsia="仿宋" w:cs="仿宋"/>
          <w:b/>
          <w:bCs/>
          <w:i w:val="0"/>
          <w:iCs w:val="0"/>
          <w:caps w:val="0"/>
          <w:color w:val="666666"/>
          <w:spacing w:val="0"/>
          <w:sz w:val="19"/>
          <w:szCs w:val="19"/>
          <w:bdr w:val="none" w:color="auto" w:sz="0" w:space="0"/>
          <w:shd w:val="clear" w:fill="FFFFFF"/>
        </w:rPr>
        <w:t>五、学院招生工作联系电话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仿宋" w:hAnsi="仿宋" w:eastAsia="仿宋" w:cs="仿宋"/>
          <w:i w:val="0"/>
          <w:iCs w:val="0"/>
          <w:caps w:val="0"/>
          <w:color w:val="666666"/>
          <w:spacing w:val="0"/>
          <w:sz w:val="19"/>
          <w:szCs w:val="19"/>
          <w:bdr w:val="none" w:color="auto" w:sz="0" w:space="0"/>
          <w:shd w:val="clear" w:fill="FFFFFF"/>
        </w:rPr>
        <w:t>电话：0871-65933280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right"/>
        <w:rPr>
          <w:color w:val="7E7E7E"/>
          <w:sz w:val="14"/>
          <w:szCs w:val="14"/>
        </w:rPr>
      </w:pPr>
      <w:r>
        <w:rPr>
          <w:rFonts w:hint="eastAsia" w:ascii="仿宋" w:hAnsi="仿宋" w:eastAsia="仿宋" w:cs="仿宋"/>
          <w:i w:val="0"/>
          <w:iCs w:val="0"/>
          <w:caps w:val="0"/>
          <w:color w:val="3E3E3E"/>
          <w:spacing w:val="0"/>
          <w:sz w:val="21"/>
          <w:szCs w:val="21"/>
          <w:bdr w:val="none" w:color="auto" w:sz="0" w:space="0"/>
          <w:shd w:val="clear" w:fill="FFFFFF"/>
        </w:rPr>
        <w:t>管理学院（会计学院）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2990"/>
        <w:jc w:val="right"/>
        <w:rPr>
          <w:color w:val="7E7E7E"/>
          <w:sz w:val="14"/>
          <w:szCs w:val="14"/>
        </w:rPr>
      </w:pPr>
      <w:r>
        <w:rPr>
          <w:rFonts w:hint="default" w:ascii="Times New Roman" w:hAnsi="Times New Roman" w:cs="Times New Roman"/>
          <w:i w:val="0"/>
          <w:iCs w:val="0"/>
          <w:caps w:val="0"/>
          <w:color w:val="3E3E3E"/>
          <w:spacing w:val="0"/>
          <w:sz w:val="21"/>
          <w:szCs w:val="21"/>
          <w:bdr w:val="none" w:color="auto" w:sz="0" w:space="0"/>
          <w:shd w:val="clear" w:fill="FFFFFF"/>
        </w:rPr>
        <w:t>2023</w:t>
      </w:r>
      <w:r>
        <w:rPr>
          <w:rFonts w:hint="eastAsia" w:ascii="仿宋" w:hAnsi="仿宋" w:eastAsia="仿宋" w:cs="仿宋"/>
          <w:i w:val="0"/>
          <w:iCs w:val="0"/>
          <w:caps w:val="0"/>
          <w:color w:val="3E3E3E"/>
          <w:spacing w:val="0"/>
          <w:sz w:val="21"/>
          <w:szCs w:val="21"/>
          <w:bdr w:val="none" w:color="auto" w:sz="0" w:space="0"/>
          <w:shd w:val="clear" w:fill="FFFFFF"/>
        </w:rPr>
        <w:t>年</w:t>
      </w:r>
      <w:r>
        <w:rPr>
          <w:rFonts w:hint="default" w:ascii="Times New Roman" w:hAnsi="Times New Roman" w:cs="Times New Roman"/>
          <w:i w:val="0"/>
          <w:iCs w:val="0"/>
          <w:caps w:val="0"/>
          <w:color w:val="3E3E3E"/>
          <w:spacing w:val="0"/>
          <w:sz w:val="21"/>
          <w:szCs w:val="21"/>
          <w:bdr w:val="none" w:color="auto" w:sz="0" w:space="0"/>
          <w:shd w:val="clear" w:fill="FFFFFF"/>
        </w:rPr>
        <w:t>4</w:t>
      </w:r>
      <w:r>
        <w:rPr>
          <w:rFonts w:hint="eastAsia" w:ascii="仿宋" w:hAnsi="仿宋" w:eastAsia="仿宋" w:cs="仿宋"/>
          <w:i w:val="0"/>
          <w:iCs w:val="0"/>
          <w:caps w:val="0"/>
          <w:color w:val="3E3E3E"/>
          <w:spacing w:val="0"/>
          <w:sz w:val="21"/>
          <w:szCs w:val="21"/>
          <w:bdr w:val="none" w:color="auto" w:sz="0" w:space="0"/>
          <w:shd w:val="clear" w:fill="FFFFFF"/>
        </w:rPr>
        <w:t>月</w:t>
      </w:r>
      <w:r>
        <w:rPr>
          <w:rFonts w:hint="default" w:ascii="Times New Roman" w:hAnsi="Times New Roman" w:cs="Times New Roman"/>
          <w:i w:val="0"/>
          <w:iCs w:val="0"/>
          <w:caps w:val="0"/>
          <w:color w:val="3E3E3E"/>
          <w:spacing w:val="0"/>
          <w:sz w:val="21"/>
          <w:szCs w:val="21"/>
          <w:bdr w:val="none" w:color="auto" w:sz="0" w:space="0"/>
          <w:shd w:val="clear" w:fill="FFFFFF"/>
        </w:rPr>
        <w:t>6</w:t>
      </w:r>
      <w:r>
        <w:rPr>
          <w:rFonts w:hint="eastAsia" w:ascii="仿宋" w:hAnsi="仿宋" w:eastAsia="仿宋" w:cs="仿宋"/>
          <w:i w:val="0"/>
          <w:iCs w:val="0"/>
          <w:caps w:val="0"/>
          <w:color w:val="3E3E3E"/>
          <w:spacing w:val="0"/>
          <w:sz w:val="21"/>
          <w:szCs w:val="21"/>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Fonts w:hint="default" w:ascii="Arial" w:hAnsi="Arial" w:cs="Arial"/>
          <w:i w:val="0"/>
          <w:iCs w:val="0"/>
          <w:caps w:val="0"/>
          <w:color w:val="7E7E7E"/>
          <w:spacing w:val="0"/>
          <w:sz w:val="14"/>
          <w:szCs w:val="1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p>
    <w:p>
      <w:pPr>
        <w:pStyle w:val="6"/>
      </w:pPr>
      <w:r>
        <w:t>窗体顶端</w:t>
      </w:r>
    </w:p>
    <w:p>
      <w:pPr>
        <w:pStyle w:val="7"/>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E0F2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paragraph" w:styleId="6">
    <w:name w:val=""/>
    <w:basedOn w:val="1"/>
    <w:next w:val="1"/>
    <w:uiPriority w:val="0"/>
    <w:pPr>
      <w:pBdr>
        <w:bottom w:val="single" w:color="auto" w:sz="6" w:space="1"/>
      </w:pBdr>
      <w:jc w:val="center"/>
    </w:pPr>
    <w:rPr>
      <w:rFonts w:ascii="Arial" w:eastAsia="宋体"/>
      <w:vanish/>
      <w:sz w:val="16"/>
    </w:rPr>
  </w:style>
  <w:style w:type="paragraph" w:styleId="7">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2023-05-14T07:00:49Z</dcterms:created>
  <dc:creator>Administrator</dc:creator>
  <cp:lastModifiedBy>王英</cp:lastModifiedBy>
  <dcterms:modified xsi:type="dcterms:W3CDTF">2023-05-14T07:01:06Z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4A9C0974EB6542F297370A03A8EC5DE1</vt:lpwstr>
  </property>
</Properties>
</file>