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right w:val="none" w:color="auto" w:sz="0" w:space="0"/>
        </w:pBdr>
        <w:spacing w:line="456" w:lineRule="atLeast"/>
        <w:ind w:left="0" w:firstLine="0"/>
        <w:jc w:val="center"/>
        <w:rPr>
          <w:rFonts w:ascii="微软雅黑" w:hAnsi="微软雅黑" w:eastAsia="微软雅黑" w:cs="微软雅黑"/>
          <w:b/>
          <w:bCs/>
          <w:i w:val="0"/>
          <w:iCs w:val="0"/>
          <w:caps w:val="0"/>
          <w:color w:val="883300"/>
          <w:spacing w:val="0"/>
          <w:sz w:val="28"/>
          <w:szCs w:val="28"/>
        </w:rPr>
      </w:pPr>
      <w:r>
        <w:rPr>
          <w:rFonts w:hint="eastAsia" w:ascii="微软雅黑" w:hAnsi="微软雅黑" w:eastAsia="微软雅黑" w:cs="微软雅黑"/>
          <w:b/>
          <w:bCs/>
          <w:i w:val="0"/>
          <w:iCs w:val="0"/>
          <w:caps w:val="0"/>
          <w:color w:val="883300"/>
          <w:spacing w:val="0"/>
          <w:kern w:val="0"/>
          <w:sz w:val="28"/>
          <w:szCs w:val="28"/>
          <w:bdr w:val="none" w:color="auto" w:sz="0" w:space="0"/>
          <w:lang w:val="en-US" w:eastAsia="zh-CN" w:bidi="ar"/>
        </w:rPr>
        <w:t>五邑大学生物科技与大健康学院2023年硕士研究生调剂工作细则</w:t>
      </w:r>
    </w:p>
    <w:p>
      <w:pPr>
        <w:keepNext w:val="0"/>
        <w:keepLines w:val="0"/>
        <w:widowControl/>
        <w:suppressLineNumbers w:val="0"/>
        <w:pBdr>
          <w:top w:val="none" w:color="auto" w:sz="0" w:space="0"/>
          <w:bottom w:val="single" w:color="CCCCCC" w:sz="4" w:space="9"/>
        </w:pBdr>
        <w:ind w:left="360" w:right="360" w:firstLine="0"/>
        <w:jc w:val="center"/>
        <w:rPr>
          <w:rFonts w:hint="eastAsia" w:ascii="微软雅黑" w:hAnsi="微软雅黑" w:eastAsia="微软雅黑" w:cs="微软雅黑"/>
          <w:i w:val="0"/>
          <w:iCs w:val="0"/>
          <w:caps w:val="0"/>
          <w:color w:val="666666"/>
          <w:spacing w:val="0"/>
          <w:sz w:val="16"/>
          <w:szCs w:val="16"/>
        </w:rPr>
      </w:pPr>
      <w:r>
        <w:rPr>
          <w:rFonts w:hint="eastAsia" w:ascii="微软雅黑" w:hAnsi="微软雅黑" w:eastAsia="微软雅黑" w:cs="微软雅黑"/>
          <w:i w:val="0"/>
          <w:iCs w:val="0"/>
          <w:caps w:val="0"/>
          <w:color w:val="666666"/>
          <w:spacing w:val="0"/>
          <w:kern w:val="0"/>
          <w:sz w:val="16"/>
          <w:szCs w:val="16"/>
          <w:lang w:val="en-US" w:eastAsia="zh-CN" w:bidi="ar"/>
        </w:rPr>
        <w:t>浏览：5401  发布时间：2023年04月02日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依据教育部有关文件精神及《五邑大学2023年全国硕士研究生招生考试复试录取办法》，现将我院2023年硕士研究生具体调剂工作细则公布如下：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Style w:val="5"/>
          <w:rFonts w:ascii="微软雅黑" w:hAnsi="微软雅黑" w:eastAsia="微软雅黑" w:cs="微软雅黑"/>
          <w:i w:val="0"/>
          <w:iCs w:val="0"/>
          <w:caps w:val="0"/>
          <w:color w:val="000000"/>
          <w:spacing w:val="0"/>
          <w:sz w:val="19"/>
          <w:szCs w:val="19"/>
          <w:bdr w:val="none" w:color="auto" w:sz="0" w:space="0"/>
        </w:rPr>
        <w:t>一、调剂时间和复试方式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中国研究生招生信息网的调剂系统（以下简称“调剂系统”）开通后即开始调剂，正式调剂开始后一周内安排复试。复试方式为线下复试，具体见《五邑大学生物科技与大健康学院2023年硕士研究生复试录取工作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Style w:val="5"/>
          <w:rFonts w:hint="eastAsia" w:ascii="微软雅黑" w:hAnsi="微软雅黑" w:eastAsia="微软雅黑" w:cs="微软雅黑"/>
          <w:i w:val="0"/>
          <w:iCs w:val="0"/>
          <w:caps w:val="0"/>
          <w:color w:val="000000"/>
          <w:spacing w:val="0"/>
          <w:sz w:val="19"/>
          <w:szCs w:val="19"/>
          <w:bdr w:val="none" w:color="auto" w:sz="0" w:space="0"/>
        </w:rPr>
        <w:t>二、调剂基本条件与接受调剂专业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本学院的药学、化学工程与技术和材料与化工专业招收调剂考生，具体条件如下：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1．初试成绩需满足“调出专业”A类考生的“全国初试成绩基本要求”，且满足“调入专业”我校的“初试成绩基本要求”。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2．初试报考专业须遵循考生初试报考专业与调剂复试专业相同或相近的原则，并在同一学科门类范围内。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3．初试科目与调入专业初试科目相同或相近，其中初试全国统一命题科目应与调剂复试专业全国统一命题科目相同（考生初试科目涵盖调入专业所有统考科目的，视为相同）。在全国统一命题科目中，英语（一）可视为英语（二），数学（一）可视为数学（二），数学（二）和数学（三）可视为数学（三），反之不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4．对申请同一专业、初试科目完全相同的调剂考生，按照初试成绩从高到低顺序规则进入复试，如最后一名初试成绩一样，则同等进入复试。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5.化学工程与技术、材料与化工专业不接收未考数学考生的调剂申请。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6．调剂条件未尽事宜按教育部《2023年全国硕士研究生招生工作管理规定》第六十二条考生调剂基本条件规定执行。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center"/>
        <w:rPr>
          <w:rFonts w:hint="eastAsia" w:ascii="微软雅黑" w:hAnsi="微软雅黑" w:eastAsia="微软雅黑" w:cs="微软雅黑"/>
          <w:color w:val="333333"/>
          <w:sz w:val="16"/>
          <w:szCs w:val="16"/>
        </w:rPr>
      </w:pPr>
      <w:r>
        <w:rPr>
          <w:rStyle w:val="5"/>
          <w:rFonts w:hint="eastAsia" w:ascii="微软雅黑" w:hAnsi="微软雅黑" w:eastAsia="微软雅黑" w:cs="微软雅黑"/>
          <w:i w:val="0"/>
          <w:iCs w:val="0"/>
          <w:caps w:val="0"/>
          <w:color w:val="000000"/>
          <w:spacing w:val="0"/>
          <w:sz w:val="19"/>
          <w:szCs w:val="19"/>
          <w:bdr w:val="none" w:color="auto" w:sz="0" w:space="0"/>
        </w:rPr>
        <w:t>学科专业招生调剂考生条件一览表</w:t>
      </w:r>
    </w:p>
    <w:tbl>
      <w:tblPr>
        <w:tblW w:w="9039"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2402"/>
        <w:gridCol w:w="2217"/>
        <w:gridCol w:w="2233"/>
        <w:gridCol w:w="218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PrEx>
        <w:trPr>
          <w:trHeight w:val="336" w:hRule="atLeast"/>
        </w:trPr>
        <w:tc>
          <w:tcPr>
            <w:tcW w:w="1872" w:type="dxa"/>
            <w:tcBorders>
              <w:top w:val="single" w:color="000000" w:sz="4" w:space="0"/>
              <w:left w:val="single" w:color="000000" w:sz="4" w:space="0"/>
              <w:bottom w:val="single" w:color="000000" w:sz="4" w:space="0"/>
              <w:right w:val="single" w:color="000000" w:sz="4" w:space="0"/>
            </w:tcBorders>
            <w:shd w:val="clear" w:color="auto" w:fill="9E3A38"/>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FFFFFF"/>
                <w:sz w:val="16"/>
                <w:szCs w:val="16"/>
              </w:rPr>
            </w:pPr>
            <w:r>
              <w:rPr>
                <w:rStyle w:val="5"/>
                <w:rFonts w:hint="eastAsia" w:ascii="微软雅黑" w:hAnsi="微软雅黑" w:eastAsia="微软雅黑" w:cs="微软雅黑"/>
                <w:color w:val="000000"/>
                <w:sz w:val="19"/>
                <w:szCs w:val="19"/>
                <w:bdr w:val="none" w:color="auto" w:sz="0" w:space="0"/>
              </w:rPr>
              <w:t>学科专业名称</w:t>
            </w:r>
          </w:p>
        </w:tc>
        <w:tc>
          <w:tcPr>
            <w:tcW w:w="1728" w:type="dxa"/>
            <w:tcBorders>
              <w:top w:val="single" w:color="000000" w:sz="4" w:space="0"/>
              <w:left w:val="single" w:color="000000" w:sz="4" w:space="0"/>
              <w:bottom w:val="single" w:color="000000" w:sz="4" w:space="0"/>
              <w:right w:val="single" w:color="000000" w:sz="4" w:space="0"/>
            </w:tcBorders>
            <w:shd w:val="clear" w:color="auto" w:fill="9E3A38"/>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FFFFFF"/>
                <w:sz w:val="16"/>
                <w:szCs w:val="16"/>
              </w:rPr>
            </w:pPr>
            <w:r>
              <w:rPr>
                <w:rStyle w:val="5"/>
                <w:rFonts w:hint="eastAsia" w:ascii="微软雅黑" w:hAnsi="微软雅黑" w:eastAsia="微软雅黑" w:cs="微软雅黑"/>
                <w:color w:val="000000"/>
                <w:sz w:val="19"/>
                <w:szCs w:val="19"/>
                <w:bdr w:val="none" w:color="auto" w:sz="0" w:space="0"/>
              </w:rPr>
              <w:t>初试成绩要求</w:t>
            </w:r>
          </w:p>
        </w:tc>
        <w:tc>
          <w:tcPr>
            <w:tcW w:w="1740" w:type="dxa"/>
            <w:tcBorders>
              <w:top w:val="single" w:color="000000" w:sz="4" w:space="0"/>
              <w:left w:val="single" w:color="000000" w:sz="4" w:space="0"/>
              <w:bottom w:val="single" w:color="000000" w:sz="4" w:space="0"/>
              <w:right w:val="single" w:color="000000" w:sz="4" w:space="0"/>
            </w:tcBorders>
            <w:shd w:val="clear" w:color="auto" w:fill="9E3A38"/>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FFFFFF"/>
                <w:sz w:val="16"/>
                <w:szCs w:val="16"/>
              </w:rPr>
            </w:pPr>
            <w:r>
              <w:rPr>
                <w:rStyle w:val="5"/>
                <w:rFonts w:hint="eastAsia" w:ascii="微软雅黑" w:hAnsi="微软雅黑" w:eastAsia="微软雅黑" w:cs="微软雅黑"/>
                <w:color w:val="000000"/>
                <w:sz w:val="19"/>
                <w:szCs w:val="19"/>
                <w:bdr w:val="none" w:color="auto" w:sz="0" w:space="0"/>
              </w:rPr>
              <w:t>可接受调剂专业</w:t>
            </w:r>
          </w:p>
        </w:tc>
        <w:tc>
          <w:tcPr>
            <w:tcW w:w="1704" w:type="dxa"/>
            <w:tcBorders>
              <w:top w:val="single" w:color="000000" w:sz="4" w:space="0"/>
              <w:left w:val="single" w:color="000000" w:sz="4" w:space="0"/>
              <w:bottom w:val="single" w:color="000000" w:sz="4" w:space="0"/>
              <w:right w:val="single" w:color="000000" w:sz="4" w:space="0"/>
            </w:tcBorders>
            <w:shd w:val="clear" w:color="auto" w:fill="9E3A38"/>
            <w:noWrap/>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FFFFFF"/>
                <w:sz w:val="16"/>
                <w:szCs w:val="16"/>
              </w:rPr>
            </w:pPr>
            <w:r>
              <w:rPr>
                <w:rStyle w:val="5"/>
                <w:rFonts w:hint="eastAsia" w:ascii="微软雅黑" w:hAnsi="微软雅黑" w:eastAsia="微软雅黑" w:cs="微软雅黑"/>
                <w:color w:val="000000"/>
                <w:sz w:val="19"/>
                <w:szCs w:val="19"/>
                <w:bdr w:val="none" w:color="auto" w:sz="0" w:space="0"/>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36" w:hRule="atLeast"/>
        </w:trPr>
        <w:tc>
          <w:tcPr>
            <w:tcW w:w="1872"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药学（1007）</w:t>
            </w:r>
          </w:p>
        </w:tc>
        <w:tc>
          <w:tcPr>
            <w:tcW w:w="1728"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全国初试成绩基本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要求</w:t>
            </w:r>
          </w:p>
        </w:tc>
        <w:tc>
          <w:tcPr>
            <w:tcW w:w="1740"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学硕（药学）</w:t>
            </w:r>
          </w:p>
        </w:tc>
        <w:tc>
          <w:tcPr>
            <w:tcW w:w="1704"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keepNext w:val="0"/>
              <w:keepLines w:val="0"/>
              <w:widowControl/>
              <w:suppressLineNumbers w:val="0"/>
              <w:spacing w:line="312" w:lineRule="atLeast"/>
              <w:ind w:left="0" w:firstLine="420"/>
              <w:jc w:val="center"/>
              <w:rPr>
                <w:rFonts w:hint="eastAsia" w:ascii="微软雅黑" w:hAnsi="微软雅黑" w:eastAsia="微软雅黑" w:cs="微软雅黑"/>
                <w:color w:val="000000"/>
                <w:sz w:val="14"/>
                <w:szCs w:val="1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36" w:hRule="atLeast"/>
        </w:trPr>
        <w:tc>
          <w:tcPr>
            <w:tcW w:w="1872"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化学工程与技术（0817）</w:t>
            </w:r>
          </w:p>
        </w:tc>
        <w:tc>
          <w:tcPr>
            <w:tcW w:w="1728"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全国初试成绩基本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要求</w:t>
            </w:r>
          </w:p>
        </w:tc>
        <w:tc>
          <w:tcPr>
            <w:tcW w:w="1740"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学硕（化学、化工、材料、环境等相关专业）</w:t>
            </w:r>
          </w:p>
        </w:tc>
        <w:tc>
          <w:tcPr>
            <w:tcW w:w="1704"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初试必须考数学（一）或数学（二）</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15" w:type="dxa"/>
            <w:left w:w="15" w:type="dxa"/>
            <w:bottom w:w="15" w:type="dxa"/>
            <w:right w:w="15" w:type="dxa"/>
          </w:tblCellMar>
        </w:tblPrEx>
        <w:trPr>
          <w:trHeight w:val="336" w:hRule="atLeast"/>
        </w:trPr>
        <w:tc>
          <w:tcPr>
            <w:tcW w:w="1872"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材料与化工（0856）</w:t>
            </w:r>
          </w:p>
        </w:tc>
        <w:tc>
          <w:tcPr>
            <w:tcW w:w="1728"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全国初试成绩基本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要求</w:t>
            </w:r>
          </w:p>
        </w:tc>
        <w:tc>
          <w:tcPr>
            <w:tcW w:w="1740"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学硕和专硕（化学、化工、材料、环境、制药、食品、生物等相关专业）</w:t>
            </w:r>
          </w:p>
        </w:tc>
        <w:tc>
          <w:tcPr>
            <w:tcW w:w="1704" w:type="dxa"/>
            <w:tcBorders>
              <w:top w:val="single" w:color="000000" w:sz="4" w:space="0"/>
              <w:left w:val="single" w:color="000000" w:sz="4" w:space="0"/>
              <w:bottom w:val="single" w:color="000000" w:sz="4" w:space="0"/>
              <w:right w:val="single" w:color="000000" w:sz="4" w:space="0"/>
            </w:tcBorders>
            <w:shd w:val="clear"/>
            <w:tcMar>
              <w:top w:w="60" w:type="dxa"/>
              <w:left w:w="120" w:type="dxa"/>
              <w:bottom w:w="6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1.初试必须考数学（一）或数学（二）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0"/>
              <w:jc w:val="center"/>
              <w:rPr>
                <w:rFonts w:hint="eastAsia" w:ascii="微软雅黑" w:hAnsi="微软雅黑" w:eastAsia="微软雅黑" w:cs="微软雅黑"/>
                <w:color w:val="333333"/>
                <w:sz w:val="16"/>
                <w:szCs w:val="16"/>
              </w:rPr>
            </w:pPr>
            <w:r>
              <w:rPr>
                <w:rFonts w:hint="eastAsia" w:ascii="微软雅黑" w:hAnsi="微软雅黑" w:eastAsia="微软雅黑" w:cs="微软雅黑"/>
                <w:color w:val="000000"/>
                <w:sz w:val="14"/>
                <w:szCs w:val="14"/>
                <w:bdr w:val="none" w:color="auto" w:sz="0" w:space="0"/>
              </w:rPr>
              <w:t>2.其它专业或方向请先联系导师</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Style w:val="5"/>
          <w:rFonts w:hint="eastAsia" w:ascii="微软雅黑" w:hAnsi="微软雅黑" w:eastAsia="微软雅黑" w:cs="微软雅黑"/>
          <w:i w:val="0"/>
          <w:iCs w:val="0"/>
          <w:caps w:val="0"/>
          <w:color w:val="000000"/>
          <w:spacing w:val="0"/>
          <w:sz w:val="19"/>
          <w:szCs w:val="19"/>
          <w:bdr w:val="none" w:color="auto" w:sz="0" w:space="0"/>
        </w:rPr>
        <w:t>三、调剂程序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1.考生在调剂系统内进行调剂信息填报，我院首次开放时间为调剂系统开放当日，首次开放12-24小时；关闭后将视生源及复试情况再次开通调剂系统，若完成拟录取计划，将不再开通。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2.发放复试通知时间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复试通知将在系统开放截至时间后24小时内通过调剂系统发送，考生在接到复试通知后2个小时内决定是否接受复试，逾期的视为放弃复试机会。依序递补发复试通知，额满为止。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Style w:val="5"/>
          <w:rFonts w:hint="eastAsia" w:ascii="微软雅黑" w:hAnsi="微软雅黑" w:eastAsia="微软雅黑" w:cs="微软雅黑"/>
          <w:i w:val="0"/>
          <w:iCs w:val="0"/>
          <w:caps w:val="0"/>
          <w:color w:val="000000"/>
          <w:spacing w:val="0"/>
          <w:sz w:val="19"/>
          <w:szCs w:val="19"/>
          <w:bdr w:val="none" w:color="auto" w:sz="0" w:space="0"/>
        </w:rPr>
        <w:t>四、调剂录取规则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调剂考生按照复试后总成绩（复试后总成绩=初试成绩+复试成绩）从高到低确定录取。同一批次调剂考生按总成绩从高到低顺序录取，录满为止。总成绩相同时，则按复试总成绩、初试自命题科目、初试外国语科目顺序，从高分到低分录取。收到待录取通知的考生在6小时内决定是否接受待录取，逾期的视为放弃待录取机会。依序递补发待录取通知，额满为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Style w:val="5"/>
          <w:rFonts w:hint="eastAsia" w:ascii="微软雅黑" w:hAnsi="微软雅黑" w:eastAsia="微软雅黑" w:cs="微软雅黑"/>
          <w:i w:val="0"/>
          <w:iCs w:val="0"/>
          <w:caps w:val="0"/>
          <w:color w:val="000000"/>
          <w:spacing w:val="0"/>
          <w:sz w:val="19"/>
          <w:szCs w:val="19"/>
          <w:bdr w:val="none" w:color="auto" w:sz="0" w:space="0"/>
        </w:rPr>
        <w:t>五、其他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1.以上政策解释权归五邑大学生物科技与大健康学院。如与国家、学校相关政策不一致，以国家、学校相关政策为准。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2.复试资格审查提交的材料清单见附件。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Style w:val="5"/>
          <w:rFonts w:hint="eastAsia" w:ascii="微软雅黑" w:hAnsi="微软雅黑" w:eastAsia="微软雅黑" w:cs="微软雅黑"/>
          <w:i w:val="0"/>
          <w:iCs w:val="0"/>
          <w:caps w:val="0"/>
          <w:color w:val="000000"/>
          <w:spacing w:val="0"/>
          <w:sz w:val="19"/>
          <w:szCs w:val="19"/>
          <w:bdr w:val="none" w:color="auto" w:sz="0" w:space="0"/>
        </w:rPr>
        <w:t>本细则由五邑大学生物科技与大健康学院负责解释。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附件：1.五邑大学2023年研究生复试资格审查提交的材料清单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both"/>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          2.五邑大学2023年硕士研究生招生思想政治表现审查表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right"/>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五邑大学生物科技与大健康学院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84" w:lineRule="atLeast"/>
        <w:ind w:left="0" w:right="0" w:firstLine="420"/>
        <w:jc w:val="right"/>
        <w:rPr>
          <w:rFonts w:hint="eastAsia" w:ascii="微软雅黑" w:hAnsi="微软雅黑" w:eastAsia="微软雅黑" w:cs="微软雅黑"/>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rPr>
        <w:t>2023年4月2日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5C6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2023-04-27T07:09:59Z</dcterms:created>
  <dc:creator>DELL</dc:creator>
  <cp:lastModifiedBy>曾经的那个老吴</cp:lastModifiedBy>
  <dcterms:modified xsi:type="dcterms:W3CDTF">2023-04-27T07:10:01Z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FFD332576D1F464088406954DCE0842A_12</vt:lpwstr>
  </property>
</Properties>
</file>