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宋体" w:hAnsi="宋体" w:eastAsia="宋体" w:cs="宋体"/>
          <w:i w:val="0"/>
          <w:iCs w:val="0"/>
          <w:caps w:val="0"/>
          <w:color w:val="DC2F39"/>
          <w:spacing w:val="0"/>
          <w:sz w:val="19"/>
          <w:szCs w:val="19"/>
        </w:rPr>
      </w:pPr>
      <w:r>
        <w:rPr>
          <w:rFonts w:hint="eastAsia" w:ascii="宋体" w:hAnsi="宋体" w:eastAsia="宋体" w:cs="宋体"/>
          <w:i w:val="0"/>
          <w:iCs w:val="0"/>
          <w:caps w:val="0"/>
          <w:color w:val="DC2F39"/>
          <w:spacing w:val="0"/>
          <w:sz w:val="19"/>
          <w:szCs w:val="19"/>
          <w:bdr w:val="none" w:color="auto" w:sz="0" w:space="0"/>
          <w:shd w:val="clear" w:fill="FFFFFF"/>
        </w:rPr>
        <w:t>井冈山大学2023年硕士研究生招生考试调剂工作方案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center"/>
        <w:rPr>
          <w:rFonts w:hint="eastAsia" w:ascii="宋体" w:hAnsi="宋体" w:eastAsia="宋体" w:cs="宋体"/>
          <w:i w:val="0"/>
          <w:iCs w:val="0"/>
          <w:caps w:val="0"/>
          <w:color w:val="999999"/>
          <w:spacing w:val="0"/>
          <w:sz w:val="14"/>
          <w:szCs w:val="14"/>
        </w:rPr>
      </w:pPr>
      <w:r>
        <w:rPr>
          <w:rFonts w:hint="eastAsia" w:ascii="宋体" w:hAnsi="宋体" w:eastAsia="宋体" w:cs="宋体"/>
          <w:i w:val="0"/>
          <w:iCs w:val="0"/>
          <w:caps w:val="0"/>
          <w:color w:val="999999"/>
          <w:spacing w:val="0"/>
          <w:sz w:val="14"/>
          <w:szCs w:val="14"/>
          <w:bdr w:val="none" w:color="auto" w:sz="0" w:space="0"/>
          <w:shd w:val="clear" w:fill="FFFFFF"/>
        </w:rPr>
        <w:t>发布时间：</w:t>
      </w:r>
      <w:r>
        <w:rPr>
          <w:rFonts w:hint="eastAsia" w:ascii="宋体" w:hAnsi="宋体" w:eastAsia="宋体" w:cs="宋体"/>
          <w:i w:val="0"/>
          <w:iCs w:val="0"/>
          <w:caps w:val="0"/>
          <w:color w:val="333333"/>
          <w:spacing w:val="0"/>
          <w:sz w:val="14"/>
          <w:szCs w:val="14"/>
          <w:bdr w:val="none" w:color="auto" w:sz="0" w:space="0"/>
          <w:shd w:val="clear" w:fill="FFFFFF"/>
        </w:rPr>
        <w:t>2023年04月04日</w:t>
      </w:r>
      <w:r>
        <w:rPr>
          <w:rFonts w:hint="eastAsia" w:ascii="宋体" w:hAnsi="宋体" w:eastAsia="宋体" w:cs="宋体"/>
          <w:i w:val="0"/>
          <w:iCs w:val="0"/>
          <w:caps w:val="0"/>
          <w:color w:val="999999"/>
          <w:spacing w:val="0"/>
          <w:sz w:val="14"/>
          <w:szCs w:val="14"/>
          <w:bdr w:val="none" w:color="auto" w:sz="0" w:space="0"/>
          <w:shd w:val="clear" w:fill="FFFFFF"/>
        </w:rPr>
        <w:t> 作者：</w:t>
      </w:r>
      <w:r>
        <w:rPr>
          <w:rFonts w:hint="eastAsia" w:ascii="宋体" w:hAnsi="宋体" w:eastAsia="宋体" w:cs="宋体"/>
          <w:i w:val="0"/>
          <w:iCs w:val="0"/>
          <w:caps w:val="0"/>
          <w:color w:val="333333"/>
          <w:spacing w:val="0"/>
          <w:sz w:val="14"/>
          <w:szCs w:val="14"/>
          <w:u w:val="none"/>
          <w:bdr w:val="none" w:color="auto" w:sz="0" w:space="0"/>
          <w:shd w:val="clear" w:fill="FFFFFF"/>
        </w:rPr>
        <w:fldChar w:fldCharType="begin"/>
      </w:r>
      <w:r>
        <w:rPr>
          <w:rFonts w:hint="eastAsia" w:ascii="宋体" w:hAnsi="宋体" w:eastAsia="宋体" w:cs="宋体"/>
          <w:i w:val="0"/>
          <w:iCs w:val="0"/>
          <w:caps w:val="0"/>
          <w:color w:val="333333"/>
          <w:spacing w:val="0"/>
          <w:sz w:val="14"/>
          <w:szCs w:val="14"/>
          <w:u w:val="none"/>
          <w:bdr w:val="none" w:color="auto" w:sz="0" w:space="0"/>
          <w:shd w:val="clear" w:fill="FFFFFF"/>
        </w:rPr>
        <w:instrText xml:space="preserve"> HYPERLINK "https://xkjs.jgsu.edu.cn/tzgg/202304/t20230404_119000.htm" \t "https://xkjs.jgsu.edu.cn/tzgg/202304/_blank" </w:instrText>
      </w:r>
      <w:r>
        <w:rPr>
          <w:rFonts w:hint="eastAsia" w:ascii="宋体" w:hAnsi="宋体" w:eastAsia="宋体" w:cs="宋体"/>
          <w:i w:val="0"/>
          <w:iCs w:val="0"/>
          <w:caps w:val="0"/>
          <w:color w:val="333333"/>
          <w:spacing w:val="0"/>
          <w:sz w:val="14"/>
          <w:szCs w:val="14"/>
          <w:u w:val="none"/>
          <w:bdr w:val="none" w:color="auto" w:sz="0" w:space="0"/>
          <w:shd w:val="clear" w:fill="FFFFFF"/>
        </w:rPr>
        <w:fldChar w:fldCharType="separate"/>
      </w:r>
      <w:r>
        <w:rPr>
          <w:rFonts w:hint="eastAsia" w:ascii="宋体" w:hAnsi="宋体" w:eastAsia="宋体" w:cs="宋体"/>
          <w:i w:val="0"/>
          <w:iCs w:val="0"/>
          <w:caps w:val="0"/>
          <w:color w:val="333333"/>
          <w:spacing w:val="0"/>
          <w:sz w:val="14"/>
          <w:szCs w:val="1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pPr>
      <w:r>
        <w:rPr>
          <w:rFonts w:hint="eastAsia" w:ascii="宋体" w:hAnsi="宋体" w:eastAsia="宋体" w:cs="宋体"/>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pPr>
      <w:r>
        <w:rPr>
          <w:rFonts w:ascii="仿宋_GB2312" w:hAnsi="宋体" w:eastAsia="仿宋_GB2312" w:cs="仿宋_GB2312"/>
          <w:i w:val="0"/>
          <w:iCs w:val="0"/>
          <w:caps w:val="0"/>
          <w:color w:val="333333"/>
          <w:spacing w:val="0"/>
          <w:sz w:val="32"/>
          <w:szCs w:val="32"/>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根据教育部《2023 年全国硕士研究生招生工作管理规定》（教学〔2022〕3 号）、教育部高校学生司办公厅《关于做好2023 年全国硕士研究生复试录取工作的通知》（教学司〔2023〕3 号）等文件关于硕士研究生招生调剂工作的精神和江西省教育考试院具体要求，为做好学校2023 年硕士研究生招生调剂工作，特制定本办法。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Style w:val="6"/>
          <w:rFonts w:hint="default" w:ascii="仿宋_GB2312" w:hAnsi="宋体" w:eastAsia="仿宋_GB2312" w:cs="仿宋_GB2312"/>
          <w:i w:val="0"/>
          <w:iCs w:val="0"/>
          <w:caps w:val="0"/>
          <w:color w:val="333333"/>
          <w:spacing w:val="0"/>
          <w:sz w:val="32"/>
          <w:szCs w:val="32"/>
          <w:bdr w:val="none" w:color="auto" w:sz="0" w:space="0"/>
          <w:shd w:val="clear" w:fill="FFFFFF"/>
        </w:rPr>
        <w:t>一、总则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一）学校研究生教育以质量为核心，坚持按需招生、全面衡量、择优录取、宁缺毋滥的原则，严格按照教育部、江西省教育考试院有关文件规定，依据调剂基本条件和要求以及本办法，择优选拔调剂考生进入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二）所有调剂考生（既包括外单位调剂考生，也包括校内调剂考生，以及报考“退役大学生士兵”专项计划与普通计划之间调剂的考生）均须通过教育部指定的“调剂系统”进行调剂志愿的填报、复试通知的确认以及待录取通知的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（三）调剂志愿锁定时间为36 小时，锁定期间原则上不得解锁。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（四）考生申请调剂前，可登陆井冈山大学研究生处网站查阅《井冈山大学2023 年硕士研究生招生简章》、《井冈山大学2023 年硕士研究生招生专业目录》和《井冈山大学2023年硕士研究生调剂公告》，了解相关专业的报考条件、研究方向、初试科目、复试科目、学院联系方式等信息，以及相关专业招生、培养、奖助、就业等政策区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Style w:val="6"/>
          <w:rFonts w:hint="default" w:ascii="仿宋_GB2312" w:hAnsi="宋体" w:eastAsia="仿宋_GB2312" w:cs="仿宋_GB2312"/>
          <w:i w:val="0"/>
          <w:iCs w:val="0"/>
          <w:caps w:val="0"/>
          <w:color w:val="333333"/>
          <w:spacing w:val="0"/>
          <w:sz w:val="32"/>
          <w:szCs w:val="32"/>
          <w:bdr w:val="none" w:color="auto" w:sz="0" w:space="0"/>
          <w:shd w:val="clear" w:fill="FFFFFF"/>
        </w:rPr>
        <w:t>二、调剂基本原则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（一）参加调剂的考生必须符合调入专业的报考条件（详见教育部《2023 年全国硕士研究生招生工作管理规定》（教学〔2022〕3 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（二）初试成绩符合第一志愿报考专业在一区的全国初试成绩基本要求，且初试成绩符合欲调剂专业在一区的全国初试成绩基本要求。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（三）调入专业与第一志愿报考专业相同或相近，应在同一学科门类范围内。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（四）初试科目与调入专业初试科目相同或相近，其中初试全国统一命题科目应与调入专业全国统一命题科目相同。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（五）对申请同一专业、初试科目完全相同的调剂考生，在符合各学院附加选拔条件的情况下，按考生初试成绩择优确定进入复试的考生名单。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六）对申请同一专业，初试科目不完全相同的调剂考生，由于考生一志愿报考高校差异，考生总成绩不具备可比性，在符合各学院附加选拔条件的情况下（例如与专业领域的相近程度等），结合考生大学学习成绩、毕业论文、科研成果、专家推荐等，综合考量初试科目及分数择优确定进入复试的考生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（七）报考“退役大学生士兵”的考生，申请调剂到普通计划录取，其初试成绩须达到A 类考生相关专业的国家线，符合条件的，可按规定享受退役大学生士兵初试加分政策，需提供本人《入伍批准书》和《退出现役证》。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八）学校“退役大学生士兵”专项计划的调剂专业为社会工作（035200）：考生的第一志愿报考专业必须为社会工作；“退役大学生士兵”专项考生总分不低于270分，单科要求：满分为100分的科目不低于35分，满分为150分的科目不低于68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Style w:val="6"/>
          <w:rFonts w:hint="default" w:ascii="仿宋_GB2312" w:hAnsi="宋体" w:eastAsia="仿宋_GB2312" w:cs="仿宋_GB2312"/>
          <w:i w:val="0"/>
          <w:iCs w:val="0"/>
          <w:caps w:val="0"/>
          <w:color w:val="333333"/>
          <w:spacing w:val="0"/>
          <w:sz w:val="32"/>
          <w:szCs w:val="32"/>
          <w:bdr w:val="none" w:color="auto" w:sz="0" w:space="0"/>
          <w:shd w:val="clear" w:fill="FFFFFF"/>
        </w:rPr>
        <w:t>三、调剂工作程序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（一）报名。调剂报名开始时间为研招网调剂系统开通时间即4月6日零点至4月7日零点，开通时间为24个小时。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（二）选拔。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1、各学院根据《井冈山大学2023 年硕士研究生招生考试调剂工作方案》制定本学院的调剂复试实施细则，报研究生院备案，并在本学院开通调剂系统前发布。学院根据实施细则对调剂考生进行择优选拔。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2、学校通过调剂系统管理平台向初选调剂考生发送复试通知。如报名调剂的考生已经接受了其他招生单位的待录取通知，视为主动放弃调剂志愿。学校可自定考生接受或拒绝复试通知的时间，逾期不确认者视为自动放弃复试资格，学校可撤销复试通知，递补其他考生。如因考生个人原因未及时确认导致复试通知逾期被撤销的，责任由考生本人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3、各学院应及时公布接受复试通知的调剂考生名单。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（三）复试方式。分为现场复试和网络远程复试两种形式，具体采用何种复试形式由各学院自行确定并通过学院调剂考生复试录取工作实施细则进行公布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四）待录取。学校将根据各学院报送的待录取名单，及时通过调剂系统管理平台对拟录取的调剂考生发送待录取通知。如考生已经接受了其他招生单位的待录取通知，视为主动放弃待录取资格。考生应密切关注调剂系统内通知，须在通知规定的时间内（12小时内）通过调剂系统接受或拒绝待录取通知，逾期不确认者视为自动放弃待录取资格，学校将撤销其待录取通知，递补其他考生。如因考生个人原因未及时确认导致待录取通知逾期被撤销的，责任由考生本人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Style w:val="6"/>
          <w:rFonts w:hint="default" w:ascii="仿宋_GB2312" w:hAnsi="宋体" w:eastAsia="仿宋_GB2312" w:cs="仿宋_GB2312"/>
          <w:i w:val="0"/>
          <w:iCs w:val="0"/>
          <w:caps w:val="0"/>
          <w:color w:val="333333"/>
          <w:spacing w:val="0"/>
          <w:sz w:val="32"/>
          <w:szCs w:val="32"/>
          <w:bdr w:val="none" w:color="auto" w:sz="0" w:space="0"/>
          <w:shd w:val="clear" w:fill="FFFFFF"/>
        </w:rPr>
        <w:t>四、信息公开公示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（一）参加复试考生名单（包括考生姓名、考生编号、初试各科成绩等信息）将在各学院主页进行公布。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（二）同一批次调剂考生复试成绩及待录取名单（包括考生姓名、考生编号、初试成绩、复试成绩、总成绩等信息）将在各学院主页进行公布。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宋体" w:eastAsia="仿宋_GB2312" w:cs="仿宋_GB2312"/>
          <w:i w:val="0"/>
          <w:iCs w:val="0"/>
          <w:caps w:val="0"/>
          <w:color w:val="333333"/>
          <w:spacing w:val="0"/>
          <w:sz w:val="32"/>
          <w:szCs w:val="32"/>
          <w:bdr w:val="none" w:color="auto" w:sz="0" w:space="0"/>
          <w:shd w:val="clear" w:fill="FFFFFF"/>
        </w:rPr>
        <w:t>（三）因考生未按报考条件和调剂要求填报调剂志愿或提供虚假信息的，一经查实，将取消考生的复试资格或待录取资格，必要时通报考生所在单位。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pPr>
      <w:r>
        <w:rPr>
          <w:rFonts w:hint="default" w:ascii="仿宋_GB2312" w:hAnsi="宋体" w:eastAsia="仿宋_GB2312" w:cs="仿宋_GB2312"/>
          <w:i w:val="0"/>
          <w:iCs w:val="0"/>
          <w:caps w:val="0"/>
          <w:color w:val="333333"/>
          <w:spacing w:val="0"/>
          <w:sz w:val="32"/>
          <w:szCs w:val="32"/>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pPr>
      <w:r>
        <w:rPr>
          <w:rFonts w:hint="default" w:ascii="仿宋_GB2312" w:hAnsi="宋体" w:eastAsia="仿宋_GB2312" w:cs="仿宋_GB2312"/>
          <w:i w:val="0"/>
          <w:iCs w:val="0"/>
          <w:caps w:val="0"/>
          <w:color w:val="333333"/>
          <w:spacing w:val="0"/>
          <w:sz w:val="32"/>
          <w:szCs w:val="32"/>
          <w:bdr w:val="none" w:color="auto" w:sz="0" w:space="0"/>
          <w:shd w:val="clear" w:fill="FFFFFF"/>
        </w:rPr>
        <w:t>文中简称注释：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pPr>
      <w:r>
        <w:rPr>
          <w:rFonts w:hint="default" w:ascii="仿宋_GB2312" w:hAnsi="宋体" w:eastAsia="仿宋_GB2312" w:cs="仿宋_GB2312"/>
          <w:i w:val="0"/>
          <w:iCs w:val="0"/>
          <w:caps w:val="0"/>
          <w:color w:val="333333"/>
          <w:spacing w:val="0"/>
          <w:sz w:val="32"/>
          <w:szCs w:val="32"/>
          <w:bdr w:val="none" w:color="auto" w:sz="0" w:space="0"/>
          <w:shd w:val="clear" w:fill="FFFFFF"/>
        </w:rPr>
        <w:t>1.中国研究生招生信息网（https://yz.chsi.com.cn/）简称“研招网”。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pPr>
      <w:r>
        <w:rPr>
          <w:rFonts w:hint="default" w:ascii="仿宋_GB2312" w:hAnsi="宋体" w:eastAsia="仿宋_GB2312" w:cs="仿宋_GB2312"/>
          <w:i w:val="0"/>
          <w:iCs w:val="0"/>
          <w:caps w:val="0"/>
          <w:color w:val="333333"/>
          <w:spacing w:val="0"/>
          <w:sz w:val="32"/>
          <w:szCs w:val="32"/>
          <w:bdr w:val="none" w:color="auto" w:sz="0" w:space="0"/>
          <w:shd w:val="clear" w:fill="FFFFFF"/>
        </w:rPr>
        <w:t>2.全国硕士生招生调剂服务系统简称“调剂系统”。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pPr>
      <w:r>
        <w:rPr>
          <w:rFonts w:hint="default" w:ascii="仿宋_GB2312" w:hAnsi="宋体" w:eastAsia="仿宋_GB2312" w:cs="仿宋_GB2312"/>
          <w:i w:val="0"/>
          <w:iCs w:val="0"/>
          <w:caps w:val="0"/>
          <w:color w:val="333333"/>
          <w:spacing w:val="0"/>
          <w:sz w:val="32"/>
          <w:szCs w:val="32"/>
          <w:bdr w:val="none" w:color="auto" w:sz="0" w:space="0"/>
          <w:shd w:val="clear" w:fill="FFFFFF"/>
        </w:rPr>
        <w:t>3.全国硕士研究生招生考试考生进入复试的初试成绩基本要求简称“国家线”。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pPr>
      <w:r>
        <w:rPr>
          <w:rFonts w:hint="default" w:ascii="仿宋_GB2312" w:hAnsi="宋体" w:eastAsia="仿宋_GB2312" w:cs="仿宋_GB2312"/>
          <w:i w:val="0"/>
          <w:iCs w:val="0"/>
          <w:caps w:val="0"/>
          <w:color w:val="333333"/>
          <w:spacing w:val="0"/>
          <w:sz w:val="32"/>
          <w:szCs w:val="32"/>
          <w:bdr w:val="none" w:color="auto" w:sz="0" w:space="0"/>
          <w:shd w:val="clear" w:fill="FFFFFF"/>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49C70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2043</Words>
  <Characters>2125</Characters>
  <Lines>0</Lines>
  <Paragraphs>0</Paragraphs>
  <TotalTime>0</TotalTime>
  <ScaleCrop>false</ScaleCrop>
  <LinksUpToDate>false</LinksUpToDate>
  <CharactersWithSpaces>2142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2023-05-03T08:57:46Z</dcterms:created>
  <dc:creator>DELL</dc:creator>
  <cp:lastModifiedBy>曾经的那个老吴</cp:lastModifiedBy>
  <dcterms:modified xsi:type="dcterms:W3CDTF">2023-05-03T08:57:50Z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525376E1D56347638E7F2062028A6D3D_12</vt:lpwstr>
  </property>
</Properties>
</file>