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宋体" w:hAnsi="宋体" w:eastAsia="宋体" w:cs="宋体"/>
          <w:i w:val="0"/>
          <w:iCs w:val="0"/>
          <w:caps w:val="0"/>
          <w:color w:val="DC2F39"/>
          <w:spacing w:val="0"/>
          <w:sz w:val="19"/>
          <w:szCs w:val="19"/>
        </w:rPr>
      </w:pPr>
      <w:r>
        <w:rPr>
          <w:rFonts w:hint="eastAsia" w:ascii="宋体" w:hAnsi="宋体" w:eastAsia="宋体" w:cs="宋体"/>
          <w:i w:val="0"/>
          <w:iCs w:val="0"/>
          <w:caps w:val="0"/>
          <w:color w:val="DC2F39"/>
          <w:spacing w:val="0"/>
          <w:sz w:val="19"/>
          <w:szCs w:val="19"/>
          <w:bdr w:val="none" w:color="auto" w:sz="0" w:space="0"/>
          <w:shd w:val="clear" w:fill="FFFFFF"/>
        </w:rPr>
        <w:t>井冈山大学关于2023年硕士研究生调剂考生复试工作的通知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center"/>
        <w:rPr>
          <w:rFonts w:hint="eastAsia" w:ascii="宋体" w:hAnsi="宋体" w:eastAsia="宋体" w:cs="宋体"/>
          <w:i w:val="0"/>
          <w:iCs w:val="0"/>
          <w:caps w:val="0"/>
          <w:color w:val="999999"/>
          <w:spacing w:val="0"/>
          <w:sz w:val="14"/>
          <w:szCs w:val="14"/>
        </w:rPr>
      </w:pPr>
      <w:r>
        <w:rPr>
          <w:rFonts w:hint="eastAsia" w:ascii="宋体" w:hAnsi="宋体" w:eastAsia="宋体" w:cs="宋体"/>
          <w:i w:val="0"/>
          <w:iCs w:val="0"/>
          <w:caps w:val="0"/>
          <w:color w:val="999999"/>
          <w:spacing w:val="0"/>
          <w:sz w:val="14"/>
          <w:szCs w:val="14"/>
          <w:bdr w:val="none" w:color="auto" w:sz="0" w:space="0"/>
          <w:shd w:val="clear" w:fill="FFFFFF"/>
        </w:rPr>
        <w:t>发布时间：</w:t>
      </w:r>
      <w:r>
        <w:rPr>
          <w:rFonts w:hint="eastAsia" w:ascii="宋体" w:hAnsi="宋体" w:eastAsia="宋体" w:cs="宋体"/>
          <w:i w:val="0"/>
          <w:iCs w:val="0"/>
          <w:caps w:val="0"/>
          <w:color w:val="333333"/>
          <w:spacing w:val="0"/>
          <w:sz w:val="14"/>
          <w:szCs w:val="14"/>
          <w:bdr w:val="none" w:color="auto" w:sz="0" w:space="0"/>
          <w:shd w:val="clear" w:fill="FFFFFF"/>
        </w:rPr>
        <w:t>2023年04月04日</w:t>
      </w:r>
      <w:r>
        <w:rPr>
          <w:rFonts w:hint="eastAsia" w:ascii="宋体" w:hAnsi="宋体" w:eastAsia="宋体" w:cs="宋体"/>
          <w:i w:val="0"/>
          <w:iCs w:val="0"/>
          <w:caps w:val="0"/>
          <w:color w:val="999999"/>
          <w:spacing w:val="0"/>
          <w:sz w:val="14"/>
          <w:szCs w:val="14"/>
          <w:bdr w:val="none" w:color="auto" w:sz="0" w:space="0"/>
          <w:shd w:val="clear" w:fill="FFFFFF"/>
        </w:rPr>
        <w:t> 作者：</w:t>
      </w:r>
      <w:r>
        <w:rPr>
          <w:rFonts w:hint="eastAsia" w:ascii="宋体" w:hAnsi="宋体" w:eastAsia="宋体" w:cs="宋体"/>
          <w:i w:val="0"/>
          <w:iCs w:val="0"/>
          <w:caps w:val="0"/>
          <w:color w:val="333333"/>
          <w:spacing w:val="0"/>
          <w:sz w:val="14"/>
          <w:szCs w:val="14"/>
          <w:u w:val="none"/>
          <w:bdr w:val="none" w:color="auto" w:sz="0" w:space="0"/>
          <w:shd w:val="clear" w:fill="FFFFFF"/>
        </w:rPr>
        <w:fldChar w:fldCharType="begin"/>
      </w:r>
      <w:r>
        <w:rPr>
          <w:rFonts w:hint="eastAsia" w:ascii="宋体" w:hAnsi="宋体" w:eastAsia="宋体" w:cs="宋体"/>
          <w:i w:val="0"/>
          <w:iCs w:val="0"/>
          <w:caps w:val="0"/>
          <w:color w:val="333333"/>
          <w:spacing w:val="0"/>
          <w:sz w:val="14"/>
          <w:szCs w:val="14"/>
          <w:u w:val="none"/>
          <w:bdr w:val="none" w:color="auto" w:sz="0" w:space="0"/>
          <w:shd w:val="clear" w:fill="FFFFFF"/>
        </w:rPr>
        <w:instrText xml:space="preserve"> HYPERLINK "https://xkjs.jgsu.edu.cn/tzgg/202304/t20230404_119001.htm" \t "https://xkjs.jgsu.edu.cn/tzgg/202304/_blank" </w:instrText>
      </w:r>
      <w:r>
        <w:rPr>
          <w:rFonts w:hint="eastAsia" w:ascii="宋体" w:hAnsi="宋体" w:eastAsia="宋体" w:cs="宋体"/>
          <w:i w:val="0"/>
          <w:iCs w:val="0"/>
          <w:caps w:val="0"/>
          <w:color w:val="333333"/>
          <w:spacing w:val="0"/>
          <w:sz w:val="14"/>
          <w:szCs w:val="14"/>
          <w:u w:val="none"/>
          <w:bdr w:val="none" w:color="auto" w:sz="0" w:space="0"/>
          <w:shd w:val="clear" w:fill="FFFFFF"/>
        </w:rPr>
        <w:fldChar w:fldCharType="separate"/>
      </w:r>
      <w:r>
        <w:rPr>
          <w:rFonts w:hint="eastAsia" w:ascii="宋体" w:hAnsi="宋体" w:eastAsia="宋体" w:cs="宋体"/>
          <w:i w:val="0"/>
          <w:iCs w:val="0"/>
          <w:caps w:val="0"/>
          <w:color w:val="333333"/>
          <w:spacing w:val="0"/>
          <w:sz w:val="14"/>
          <w:szCs w:val="1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pPr>
      <w:r>
        <w:rPr>
          <w:rFonts w:hint="eastAsia" w:ascii="宋体" w:hAnsi="宋体" w:eastAsia="宋体" w:cs="宋体"/>
          <w:i w:val="0"/>
          <w:iCs w:val="0"/>
          <w:caps w:val="0"/>
          <w:color w:val="333333"/>
          <w:spacing w:val="0"/>
          <w:sz w:val="16"/>
          <w:szCs w:val="16"/>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rPr>
          <w:sz w:val="32"/>
          <w:szCs w:val="32"/>
        </w:rPr>
      </w:pPr>
      <w:r>
        <w:rPr>
          <w:rFonts w:ascii="仿宋_GB2312" w:hAnsi="宋体" w:eastAsia="仿宋_GB2312" w:cs="仿宋_GB2312"/>
          <w:i w:val="0"/>
          <w:iCs w:val="0"/>
          <w:caps w:val="0"/>
          <w:color w:val="333333"/>
          <w:spacing w:val="0"/>
          <w:sz w:val="32"/>
          <w:szCs w:val="32"/>
          <w:bdr w:val="none" w:color="auto" w:sz="0" w:space="0"/>
          <w:shd w:val="clear" w:fill="FFFFFF"/>
        </w:rPr>
        <w:t>为有序开展我校2023年硕士研究生调剂志愿招生复试录取工作，根据《井冈山大学2023年硕士研究生招生考试调剂工作方案》要求，结合本单位生物与医药专业实际情况，现将第一批调剂志愿考生的复试工作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526" w:right="0"/>
        <w:jc w:val="both"/>
        <w:rPr>
          <w:sz w:val="32"/>
          <w:szCs w:val="32"/>
        </w:rPr>
      </w:pPr>
      <w:r>
        <w:rPr>
          <w:rStyle w:val="6"/>
          <w:rFonts w:ascii="黑体" w:hAnsi="宋体" w:eastAsia="黑体" w:cs="黑体"/>
          <w:i w:val="0"/>
          <w:iCs w:val="0"/>
          <w:caps w:val="0"/>
          <w:color w:val="333333"/>
          <w:spacing w:val="0"/>
          <w:sz w:val="32"/>
          <w:szCs w:val="32"/>
          <w:bdr w:val="none" w:color="auto" w:sz="0" w:space="0"/>
          <w:shd w:val="clear" w:fill="FFFFFF"/>
        </w:rPr>
        <w:t>一、</w:t>
      </w:r>
      <w:r>
        <w:rPr>
          <w:rStyle w:val="6"/>
          <w:rFonts w:hint="eastAsia" w:ascii="黑体" w:hAnsi="宋体" w:eastAsia="黑体" w:cs="黑体"/>
          <w:i w:val="0"/>
          <w:iCs w:val="0"/>
          <w:caps w:val="0"/>
          <w:color w:val="333333"/>
          <w:spacing w:val="0"/>
          <w:sz w:val="32"/>
          <w:szCs w:val="32"/>
          <w:bdr w:val="none" w:color="auto" w:sz="0" w:space="0"/>
          <w:shd w:val="clear" w:fill="FFFFFF"/>
        </w:rPr>
        <w:t>复试形式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sz w:val="32"/>
          <w:szCs w:val="32"/>
        </w:rPr>
      </w:pPr>
      <w:r>
        <w:rPr>
          <w:rFonts w:hint="default" w:ascii="仿宋_GB2312" w:hAnsi="宋体" w:eastAsia="仿宋_GB2312" w:cs="仿宋_GB2312"/>
          <w:i w:val="0"/>
          <w:iCs w:val="0"/>
          <w:caps w:val="0"/>
          <w:color w:val="333333"/>
          <w:spacing w:val="0"/>
          <w:sz w:val="32"/>
          <w:szCs w:val="32"/>
          <w:bdr w:val="none" w:color="auto" w:sz="0" w:space="0"/>
          <w:shd w:val="clear" w:fill="FFFFFF"/>
        </w:rPr>
        <w:t>调剂志愿考生采取</w:t>
      </w:r>
      <w:r>
        <w:rPr>
          <w:rFonts w:hint="default" w:ascii="仿宋_GB2312" w:hAnsi="宋体" w:eastAsia="仿宋_GB2312" w:cs="仿宋_GB2312"/>
          <w:b/>
          <w:bCs/>
          <w:i w:val="0"/>
          <w:iCs w:val="0"/>
          <w:caps w:val="0"/>
          <w:color w:val="333333"/>
          <w:spacing w:val="0"/>
          <w:sz w:val="32"/>
          <w:szCs w:val="32"/>
          <w:bdr w:val="none" w:color="auto" w:sz="0" w:space="0"/>
          <w:shd w:val="clear" w:fill="FFFFFF"/>
        </w:rPr>
        <w:t>现场复试</w:t>
      </w:r>
      <w:r>
        <w:rPr>
          <w:rFonts w:hint="default" w:ascii="仿宋_GB2312" w:hAnsi="宋体" w:eastAsia="仿宋_GB2312" w:cs="仿宋_GB2312"/>
          <w:i w:val="0"/>
          <w:iCs w:val="0"/>
          <w:caps w:val="0"/>
          <w:color w:val="333333"/>
          <w:spacing w:val="0"/>
          <w:sz w:val="32"/>
          <w:szCs w:val="32"/>
          <w:bdr w:val="none" w:color="auto" w:sz="0" w:space="0"/>
          <w:shd w:val="clear" w:fill="FFFFFF"/>
        </w:rPr>
        <w:t>方式进行。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sz w:val="32"/>
          <w:szCs w:val="32"/>
        </w:rPr>
      </w:pPr>
      <w:r>
        <w:rPr>
          <w:rFonts w:hint="eastAsia" w:ascii="黑体" w:hAnsi="宋体" w:eastAsia="黑体" w:cs="黑体"/>
          <w:i w:val="0"/>
          <w:iCs w:val="0"/>
          <w:caps w:val="0"/>
          <w:color w:val="333333"/>
          <w:spacing w:val="0"/>
          <w:sz w:val="32"/>
          <w:szCs w:val="32"/>
          <w:bdr w:val="none" w:color="auto" w:sz="0" w:space="0"/>
          <w:shd w:val="clear" w:fill="FFFFFF"/>
        </w:rPr>
        <w:t>二、复试内容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both"/>
        <w:rPr>
          <w:sz w:val="32"/>
          <w:szCs w:val="32"/>
        </w:rPr>
      </w:pPr>
      <w:r>
        <w:rPr>
          <w:rFonts w:hint="default" w:ascii="仿宋_GB2312" w:hAnsi="宋体" w:eastAsia="仿宋_GB2312" w:cs="仿宋_GB2312"/>
          <w:b/>
          <w:bCs/>
          <w:i w:val="0"/>
          <w:iCs w:val="0"/>
          <w:caps w:val="0"/>
          <w:color w:val="333333"/>
          <w:spacing w:val="0"/>
          <w:sz w:val="32"/>
          <w:szCs w:val="32"/>
          <w:bdr w:val="none" w:color="auto" w:sz="0" w:space="0"/>
          <w:shd w:val="clear" w:fill="FFFFFF"/>
        </w:rPr>
        <w:t>（一）专业基础课笔试（总分100分）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106" w:firstLine="640"/>
        <w:jc w:val="both"/>
        <w:rPr>
          <w:sz w:val="32"/>
          <w:szCs w:val="32"/>
        </w:rPr>
      </w:pPr>
      <w:r>
        <w:rPr>
          <w:rFonts w:hint="default" w:ascii="仿宋_GB2312" w:hAnsi="宋体" w:eastAsia="仿宋_GB2312" w:cs="仿宋_GB2312"/>
          <w:i w:val="0"/>
          <w:iCs w:val="0"/>
          <w:caps w:val="0"/>
          <w:color w:val="333333"/>
          <w:spacing w:val="0"/>
          <w:sz w:val="32"/>
          <w:szCs w:val="32"/>
          <w:bdr w:val="none" w:color="auto" w:sz="0" w:space="0"/>
          <w:shd w:val="clear" w:fill="FFFFFF"/>
        </w:rPr>
        <w:t>专业基础课笔试方式为闭卷，考试时长2小时。笔试分数计入复试总成绩。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both"/>
        <w:rPr>
          <w:sz w:val="32"/>
          <w:szCs w:val="32"/>
        </w:rPr>
      </w:pPr>
      <w:r>
        <w:rPr>
          <w:rFonts w:hint="default" w:ascii="仿宋_GB2312" w:hAnsi="宋体" w:eastAsia="仿宋_GB2312" w:cs="仿宋_GB2312"/>
          <w:b/>
          <w:bCs/>
          <w:i w:val="0"/>
          <w:iCs w:val="0"/>
          <w:caps w:val="0"/>
          <w:color w:val="333333"/>
          <w:spacing w:val="0"/>
          <w:sz w:val="32"/>
          <w:szCs w:val="32"/>
          <w:bdr w:val="none" w:color="auto" w:sz="0" w:space="0"/>
          <w:shd w:val="clear" w:fill="FFFFFF"/>
        </w:rPr>
        <w:t>（二）专业综合能力面试（总分100分）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106" w:firstLine="640"/>
        <w:jc w:val="both"/>
        <w:rPr>
          <w:sz w:val="32"/>
          <w:szCs w:val="32"/>
        </w:rPr>
      </w:pPr>
      <w:r>
        <w:rPr>
          <w:rFonts w:hint="default" w:ascii="仿宋_GB2312" w:hAnsi="宋体" w:eastAsia="仿宋_GB2312" w:cs="仿宋_GB2312"/>
          <w:i w:val="0"/>
          <w:iCs w:val="0"/>
          <w:caps w:val="0"/>
          <w:color w:val="333333"/>
          <w:spacing w:val="0"/>
          <w:sz w:val="32"/>
          <w:szCs w:val="32"/>
          <w:bdr w:val="none" w:color="auto" w:sz="0" w:space="0"/>
          <w:shd w:val="clear" w:fill="FFFFFF"/>
        </w:rPr>
        <w:t>每位考生的面试时间不低于20分钟。考核内容主要包括：外语水平测试（占比30%）、专业素质测试（占比50%）、综合素质测试（占比 20%）。面试分数计入复试总成绩。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both"/>
        <w:rPr>
          <w:sz w:val="32"/>
          <w:szCs w:val="32"/>
        </w:rPr>
      </w:pPr>
      <w:r>
        <w:rPr>
          <w:rFonts w:hint="default" w:ascii="仿宋_GB2312" w:hAnsi="宋体" w:eastAsia="仿宋_GB2312" w:cs="仿宋_GB2312"/>
          <w:b/>
          <w:bCs/>
          <w:i w:val="0"/>
          <w:iCs w:val="0"/>
          <w:caps w:val="0"/>
          <w:color w:val="333333"/>
          <w:spacing w:val="0"/>
          <w:sz w:val="32"/>
          <w:szCs w:val="32"/>
          <w:bdr w:val="none" w:color="auto" w:sz="0" w:space="0"/>
          <w:shd w:val="clear" w:fill="FFFFFF"/>
        </w:rPr>
        <w:t>（三）同等学力加试。</w:t>
      </w:r>
      <w:r>
        <w:rPr>
          <w:rFonts w:hint="default" w:ascii="仿宋_GB2312" w:hAnsi="宋体" w:eastAsia="仿宋_GB2312" w:cs="仿宋_GB2312"/>
          <w:i w:val="0"/>
          <w:iCs w:val="0"/>
          <w:caps w:val="0"/>
          <w:color w:val="333333"/>
          <w:spacing w:val="0"/>
          <w:sz w:val="32"/>
          <w:szCs w:val="32"/>
          <w:bdr w:val="none" w:color="auto" w:sz="0" w:space="0"/>
          <w:shd w:val="clear" w:fill="FFFFFF"/>
        </w:rPr>
        <w:t>以同等学力参加复试的考生，在复试中加试《井冈山大学2023 年硕士研究生招生专业目录》中规定的科目，每个科目试卷总分为 100 分，加试分数不计入复试总成绩。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both"/>
        <w:rPr>
          <w:sz w:val="32"/>
          <w:szCs w:val="32"/>
        </w:rPr>
      </w:pPr>
      <w:r>
        <w:rPr>
          <w:rFonts w:hint="default" w:ascii="仿宋_GB2312" w:hAnsi="宋体" w:eastAsia="仿宋_GB2312" w:cs="仿宋_GB2312"/>
          <w:b/>
          <w:bCs/>
          <w:i w:val="0"/>
          <w:iCs w:val="0"/>
          <w:caps w:val="0"/>
          <w:color w:val="333333"/>
          <w:spacing w:val="0"/>
          <w:sz w:val="32"/>
          <w:szCs w:val="32"/>
          <w:bdr w:val="none" w:color="auto" w:sz="0" w:space="0"/>
          <w:shd w:val="clear" w:fill="FFFFFF"/>
        </w:rPr>
        <w:t>（四）其他。</w:t>
      </w:r>
      <w:r>
        <w:rPr>
          <w:rFonts w:hint="default" w:ascii="仿宋_GB2312" w:hAnsi="宋体" w:eastAsia="仿宋_GB2312" w:cs="仿宋_GB2312"/>
          <w:i w:val="0"/>
          <w:iCs w:val="0"/>
          <w:caps w:val="0"/>
          <w:color w:val="333333"/>
          <w:spacing w:val="0"/>
          <w:sz w:val="32"/>
          <w:szCs w:val="32"/>
          <w:bdr w:val="none" w:color="auto" w:sz="0" w:space="0"/>
          <w:shd w:val="clear" w:fill="FFFFFF"/>
        </w:rPr>
        <w:t>调剂志愿考生现场复试时，还需要参加我校组织的心理健康测试、体检。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rPr>
          <w:sz w:val="32"/>
          <w:szCs w:val="32"/>
        </w:rPr>
      </w:pPr>
      <w:r>
        <w:rPr>
          <w:rFonts w:hint="eastAsia" w:ascii="黑体" w:hAnsi="宋体" w:eastAsia="黑体" w:cs="黑体"/>
          <w:i w:val="0"/>
          <w:iCs w:val="0"/>
          <w:caps w:val="0"/>
          <w:color w:val="333333"/>
          <w:spacing w:val="0"/>
          <w:sz w:val="32"/>
          <w:szCs w:val="32"/>
          <w:bdr w:val="none" w:color="auto" w:sz="0" w:space="0"/>
          <w:shd w:val="clear" w:fill="FFFFFF"/>
        </w:rPr>
        <w:t>三、复试时间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sz w:val="32"/>
          <w:szCs w:val="32"/>
        </w:rPr>
      </w:pPr>
      <w:r>
        <w:rPr>
          <w:rFonts w:hint="default" w:ascii="仿宋_GB2312" w:hAnsi="宋体" w:eastAsia="仿宋_GB2312" w:cs="仿宋_GB2312"/>
          <w:i w:val="0"/>
          <w:iCs w:val="0"/>
          <w:caps w:val="0"/>
          <w:color w:val="333333"/>
          <w:spacing w:val="0"/>
          <w:sz w:val="32"/>
          <w:szCs w:val="32"/>
          <w:bdr w:val="none" w:color="auto" w:sz="0" w:space="0"/>
          <w:shd w:val="clear" w:fill="FFFFFF"/>
        </w:rPr>
        <w:t>生物与医药专业、社会工作专业“士兵专项”调剂志愿考生的复试时间为4月9日至4月11日。主要日程安排如下：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sz w:val="32"/>
          <w:szCs w:val="32"/>
        </w:rPr>
      </w:pPr>
      <w:r>
        <w:rPr>
          <w:rFonts w:hint="default" w:ascii="仿宋_GB2312" w:hAnsi="宋体" w:eastAsia="仿宋_GB2312" w:cs="仿宋_GB2312"/>
          <w:i w:val="0"/>
          <w:iCs w:val="0"/>
          <w:caps w:val="0"/>
          <w:color w:val="333333"/>
          <w:spacing w:val="0"/>
          <w:sz w:val="32"/>
          <w:szCs w:val="32"/>
          <w:bdr w:val="none" w:color="auto" w:sz="0" w:space="0"/>
          <w:shd w:val="clear" w:fill="FFFFFF"/>
        </w:rPr>
        <w:t>1、4月9日下午同等学力调剂考生报到，10日上午8:00-12:00参加同等学力加试科目考试，10日下午14:00-16:00参加专业基础课笔试；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sz w:val="32"/>
          <w:szCs w:val="32"/>
        </w:rPr>
      </w:pPr>
      <w:r>
        <w:rPr>
          <w:rFonts w:hint="default" w:ascii="仿宋_GB2312" w:hAnsi="宋体" w:eastAsia="仿宋_GB2312" w:cs="仿宋_GB2312"/>
          <w:i w:val="0"/>
          <w:iCs w:val="0"/>
          <w:caps w:val="0"/>
          <w:color w:val="333333"/>
          <w:spacing w:val="0"/>
          <w:sz w:val="32"/>
          <w:szCs w:val="32"/>
          <w:bdr w:val="none" w:color="auto" w:sz="0" w:space="0"/>
          <w:shd w:val="clear" w:fill="FFFFFF"/>
        </w:rPr>
        <w:t>2、4月10日上午其他调剂考生报到，下午14:00-16:00参加专业基础课笔试，晚上19:00-20:00参加心理健康测试；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sz w:val="32"/>
          <w:szCs w:val="32"/>
        </w:rPr>
      </w:pPr>
      <w:r>
        <w:rPr>
          <w:rFonts w:hint="default" w:ascii="仿宋_GB2312" w:hAnsi="宋体" w:eastAsia="仿宋_GB2312" w:cs="仿宋_GB2312"/>
          <w:i w:val="0"/>
          <w:iCs w:val="0"/>
          <w:caps w:val="0"/>
          <w:color w:val="333333"/>
          <w:spacing w:val="0"/>
          <w:sz w:val="32"/>
          <w:szCs w:val="32"/>
          <w:bdr w:val="none" w:color="auto" w:sz="0" w:space="0"/>
          <w:shd w:val="clear" w:fill="FFFFFF"/>
        </w:rPr>
        <w:t>3、4月11日全天专业综合面试；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sz w:val="32"/>
          <w:szCs w:val="32"/>
        </w:rPr>
      </w:pPr>
      <w:r>
        <w:rPr>
          <w:rFonts w:hint="default" w:ascii="仿宋_GB2312" w:hAnsi="宋体" w:eastAsia="仿宋_GB2312" w:cs="仿宋_GB2312"/>
          <w:i w:val="0"/>
          <w:iCs w:val="0"/>
          <w:caps w:val="0"/>
          <w:color w:val="333333"/>
          <w:spacing w:val="0"/>
          <w:sz w:val="32"/>
          <w:szCs w:val="32"/>
          <w:bdr w:val="none" w:color="auto" w:sz="0" w:space="0"/>
          <w:shd w:val="clear" w:fill="FFFFFF"/>
        </w:rPr>
        <w:t>4、4月12日上午7:00-12:00体检。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sz w:val="32"/>
          <w:szCs w:val="32"/>
        </w:rPr>
      </w:pPr>
      <w:r>
        <w:rPr>
          <w:rFonts w:hint="default" w:ascii="仿宋_GB2312" w:hAnsi="宋体" w:eastAsia="仿宋_GB2312" w:cs="仿宋_GB2312"/>
          <w:i w:val="0"/>
          <w:iCs w:val="0"/>
          <w:caps w:val="0"/>
          <w:color w:val="333333"/>
          <w:spacing w:val="0"/>
          <w:sz w:val="32"/>
          <w:szCs w:val="32"/>
          <w:bdr w:val="none" w:color="auto" w:sz="0" w:space="0"/>
          <w:shd w:val="clear" w:fill="FFFFFF"/>
        </w:rPr>
        <w:t>拟录取名单将在复试工作结束后按程序公示发布。具体的调剂复试工作实施细则与调剂志愿考生复试名单由各学院官网公布，请考生及时浏览查看。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sz w:val="32"/>
          <w:szCs w:val="32"/>
        </w:rPr>
      </w:pPr>
      <w:r>
        <w:rPr>
          <w:rFonts w:hint="default" w:ascii="仿宋_GB2312" w:hAnsi="宋体" w:eastAsia="仿宋_GB2312" w:cs="仿宋_GB2312"/>
          <w:i w:val="0"/>
          <w:iCs w:val="0"/>
          <w:caps w:val="0"/>
          <w:color w:val="333333"/>
          <w:spacing w:val="0"/>
          <w:sz w:val="32"/>
          <w:szCs w:val="32"/>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526" w:right="0" w:firstLine="4160"/>
        <w:jc w:val="both"/>
        <w:rPr>
          <w:sz w:val="32"/>
          <w:szCs w:val="32"/>
        </w:rPr>
      </w:pPr>
      <w:r>
        <w:rPr>
          <w:rFonts w:hint="default" w:ascii="仿宋_GB2312" w:hAnsi="宋体" w:eastAsia="仿宋_GB2312" w:cs="仿宋_GB2312"/>
          <w:i w:val="0"/>
          <w:iCs w:val="0"/>
          <w:caps w:val="0"/>
          <w:color w:val="333333"/>
          <w:spacing w:val="0"/>
          <w:sz w:val="32"/>
          <w:szCs w:val="32"/>
          <w:bdr w:val="none" w:color="auto" w:sz="0" w:space="0"/>
          <w:shd w:val="clear" w:fill="FFFFFF"/>
        </w:rPr>
        <w:t>井冈山大学研究生处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526" w:right="0" w:firstLine="4480"/>
        <w:jc w:val="both"/>
        <w:rPr>
          <w:sz w:val="32"/>
          <w:szCs w:val="32"/>
        </w:rPr>
      </w:pPr>
      <w:r>
        <w:rPr>
          <w:rFonts w:hint="default" w:ascii="仿宋_GB2312" w:hAnsi="宋体" w:eastAsia="仿宋_GB2312" w:cs="仿宋_GB2312"/>
          <w:i w:val="0"/>
          <w:iCs w:val="0"/>
          <w:caps w:val="0"/>
          <w:color w:val="333333"/>
          <w:spacing w:val="0"/>
          <w:sz w:val="32"/>
          <w:szCs w:val="32"/>
          <w:bdr w:val="none" w:color="auto" w:sz="0" w:space="0"/>
          <w:shd w:val="clear" w:fill="FFFFFF"/>
        </w:rPr>
        <w:t>2023年4月4日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526" w:right="0" w:firstLine="4480"/>
        <w:jc w:val="both"/>
        <w:rPr>
          <w:sz w:val="32"/>
          <w:szCs w:val="32"/>
        </w:rPr>
      </w:pPr>
      <w:r>
        <w:rPr>
          <w:rFonts w:hint="eastAsia" w:ascii="宋体" w:hAnsi="宋体" w:eastAsia="宋体" w:cs="宋体"/>
          <w:i w:val="0"/>
          <w:iCs w:val="0"/>
          <w:caps w:val="0"/>
          <w:color w:val="333333"/>
          <w:spacing w:val="0"/>
          <w:sz w:val="32"/>
          <w:szCs w:val="32"/>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rPr>
          <w:sz w:val="32"/>
          <w:szCs w:val="32"/>
        </w:rPr>
      </w:pPr>
      <w:r>
        <w:rPr>
          <w:rFonts w:hint="default" w:ascii="仿宋_GB2312" w:hAnsi="宋体" w:eastAsia="仿宋_GB2312" w:cs="仿宋_GB2312"/>
          <w:i w:val="0"/>
          <w:iCs w:val="0"/>
          <w:caps w:val="0"/>
          <w:color w:val="333333"/>
          <w:spacing w:val="0"/>
          <w:sz w:val="32"/>
          <w:szCs w:val="32"/>
          <w:bdr w:val="none" w:color="auto" w:sz="0" w:space="0"/>
          <w:shd w:val="clear" w:fill="FFFFFF"/>
        </w:rPr>
        <w:t>附件1：各学院调剂考生复试实施细则链接地址</w:t>
      </w:r>
    </w:p>
    <w:tbl>
      <w:tblPr>
        <w:tblW w:w="0" w:type="auto"/>
        <w:tblInd w:w="0" w:type="dxa"/>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Layout w:type="autofit"/>
        <w:tblCellMar>
          <w:top w:w="0" w:type="dxa"/>
          <w:left w:w="0" w:type="dxa"/>
          <w:bottom w:w="0" w:type="dxa"/>
          <w:right w:w="0" w:type="dxa"/>
        </w:tblCellMar>
      </w:tblPr>
      <w:tblGrid>
        <w:gridCol w:w="438"/>
        <w:gridCol w:w="438"/>
        <w:gridCol w:w="7646"/>
      </w:tblGrid>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CellMar>
            <w:top w:w="0" w:type="dxa"/>
            <w:left w:w="0" w:type="dxa"/>
            <w:bottom w:w="0" w:type="dxa"/>
            <w:right w:w="0" w:type="dxa"/>
          </w:tblCellMar>
        </w:tblPrEx>
        <w:tc>
          <w:tcPr>
            <w:tcW w:w="1526"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32"/>
                <w:szCs w:val="32"/>
              </w:rPr>
            </w:pPr>
            <w:r>
              <w:rPr>
                <w:rFonts w:hint="default" w:ascii="仿宋_GB2312" w:eastAsia="仿宋_GB2312" w:cs="仿宋_GB2312"/>
                <w:sz w:val="32"/>
                <w:szCs w:val="32"/>
                <w:bdr w:val="none" w:color="auto" w:sz="0" w:space="0"/>
              </w:rPr>
              <w:t>序号</w:t>
            </w:r>
          </w:p>
        </w:tc>
        <w:tc>
          <w:tcPr>
            <w:tcW w:w="2551"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32"/>
                <w:szCs w:val="32"/>
              </w:rPr>
            </w:pPr>
            <w:r>
              <w:rPr>
                <w:rFonts w:hint="default" w:ascii="仿宋_GB2312" w:eastAsia="仿宋_GB2312" w:cs="仿宋_GB2312"/>
                <w:sz w:val="32"/>
                <w:szCs w:val="32"/>
                <w:bdr w:val="none" w:color="auto" w:sz="0" w:space="0"/>
              </w:rPr>
              <w:t>学院</w:t>
            </w:r>
          </w:p>
        </w:tc>
        <w:tc>
          <w:tcPr>
            <w:tcW w:w="4445"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32"/>
                <w:szCs w:val="32"/>
              </w:rPr>
            </w:pPr>
            <w:r>
              <w:rPr>
                <w:rFonts w:hint="default" w:ascii="仿宋_GB2312" w:eastAsia="仿宋_GB2312" w:cs="仿宋_GB2312"/>
                <w:sz w:val="32"/>
                <w:szCs w:val="32"/>
                <w:bdr w:val="none" w:color="auto" w:sz="0" w:space="0"/>
              </w:rPr>
              <w:t>链接地址</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CellMar>
            <w:top w:w="0" w:type="dxa"/>
            <w:left w:w="0" w:type="dxa"/>
            <w:bottom w:w="0" w:type="dxa"/>
            <w:right w:w="0" w:type="dxa"/>
          </w:tblCellMar>
        </w:tblPrEx>
        <w:tc>
          <w:tcPr>
            <w:tcW w:w="1526"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32"/>
                <w:szCs w:val="32"/>
              </w:rPr>
            </w:pPr>
            <w:r>
              <w:rPr>
                <w:rFonts w:hint="default" w:ascii="仿宋_GB2312" w:eastAsia="仿宋_GB2312" w:cs="仿宋_GB2312"/>
                <w:sz w:val="32"/>
                <w:szCs w:val="32"/>
                <w:bdr w:val="none" w:color="auto" w:sz="0" w:space="0"/>
              </w:rPr>
              <w:t>1</w:t>
            </w:r>
          </w:p>
        </w:tc>
        <w:tc>
          <w:tcPr>
            <w:tcW w:w="2551"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32"/>
                <w:szCs w:val="32"/>
              </w:rPr>
            </w:pPr>
            <w:r>
              <w:rPr>
                <w:rFonts w:hint="default" w:ascii="仿宋_GB2312" w:eastAsia="仿宋_GB2312" w:cs="仿宋_GB2312"/>
                <w:sz w:val="32"/>
                <w:szCs w:val="32"/>
                <w:bdr w:val="none" w:color="auto" w:sz="0" w:space="0"/>
              </w:rPr>
              <w:t>生命科学学院</w:t>
            </w:r>
          </w:p>
        </w:tc>
        <w:tc>
          <w:tcPr>
            <w:tcW w:w="4445"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32"/>
                <w:szCs w:val="32"/>
              </w:rPr>
            </w:pPr>
            <w:r>
              <w:rPr>
                <w:rFonts w:hint="default" w:ascii="仿宋_GB2312" w:eastAsia="仿宋_GB2312" w:cs="仿宋_GB2312"/>
                <w:color w:val="333333"/>
                <w:sz w:val="32"/>
                <w:szCs w:val="32"/>
                <w:u w:val="none"/>
                <w:bdr w:val="none" w:color="auto" w:sz="0" w:space="0"/>
              </w:rPr>
              <w:fldChar w:fldCharType="begin"/>
            </w:r>
            <w:r>
              <w:rPr>
                <w:rFonts w:hint="default" w:ascii="仿宋_GB2312" w:eastAsia="仿宋_GB2312" w:cs="仿宋_GB2312"/>
                <w:color w:val="333333"/>
                <w:sz w:val="32"/>
                <w:szCs w:val="32"/>
                <w:u w:val="none"/>
                <w:bdr w:val="none" w:color="auto" w:sz="0" w:space="0"/>
              </w:rPr>
              <w:instrText xml:space="preserve"> HYPERLINK "http://bio.jgsu.edu.cn/notice/202304/t20230405_119015.htm" </w:instrText>
            </w:r>
            <w:r>
              <w:rPr>
                <w:rFonts w:hint="default" w:ascii="仿宋_GB2312" w:eastAsia="仿宋_GB2312" w:cs="仿宋_GB2312"/>
                <w:color w:val="333333"/>
                <w:sz w:val="32"/>
                <w:szCs w:val="32"/>
                <w:u w:val="none"/>
                <w:bdr w:val="none" w:color="auto" w:sz="0" w:space="0"/>
              </w:rPr>
              <w:fldChar w:fldCharType="separate"/>
            </w:r>
            <w:r>
              <w:rPr>
                <w:rStyle w:val="7"/>
                <w:rFonts w:hint="default" w:ascii="仿宋_GB2312" w:eastAsia="仿宋_GB2312" w:cs="仿宋_GB2312"/>
                <w:color w:val="333333"/>
                <w:sz w:val="32"/>
                <w:szCs w:val="32"/>
                <w:u w:val="none"/>
                <w:bdr w:val="none" w:color="auto" w:sz="0" w:space="0"/>
              </w:rPr>
              <w:t>http://bio.jgsu.edu.cn/notice/202304/t20230405_119015.htm</w:t>
            </w:r>
            <w:r>
              <w:rPr>
                <w:rFonts w:hint="default" w:ascii="仿宋_GB2312" w:eastAsia="仿宋_GB2312" w:cs="仿宋_GB2312"/>
                <w:color w:val="333333"/>
                <w:sz w:val="32"/>
                <w:szCs w:val="32"/>
                <w:u w:val="none"/>
                <w:bdr w:val="none" w:color="auto" w:sz="0" w:space="0"/>
              </w:rPr>
              <w:fldChar w:fldCharType="end"/>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CellMar>
            <w:top w:w="0" w:type="dxa"/>
            <w:left w:w="0" w:type="dxa"/>
            <w:bottom w:w="0" w:type="dxa"/>
            <w:right w:w="0" w:type="dxa"/>
          </w:tblCellMar>
        </w:tblPrEx>
        <w:tc>
          <w:tcPr>
            <w:tcW w:w="1526"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32"/>
                <w:szCs w:val="32"/>
              </w:rPr>
            </w:pPr>
            <w:r>
              <w:rPr>
                <w:rFonts w:hint="default" w:ascii="仿宋_GB2312" w:eastAsia="仿宋_GB2312" w:cs="仿宋_GB2312"/>
                <w:sz w:val="32"/>
                <w:szCs w:val="32"/>
                <w:bdr w:val="none" w:color="auto" w:sz="0" w:space="0"/>
              </w:rPr>
              <w:t>2</w:t>
            </w:r>
          </w:p>
        </w:tc>
        <w:tc>
          <w:tcPr>
            <w:tcW w:w="2551"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32"/>
                <w:szCs w:val="32"/>
              </w:rPr>
            </w:pPr>
            <w:r>
              <w:rPr>
                <w:rFonts w:hint="default" w:ascii="仿宋_GB2312" w:eastAsia="仿宋_GB2312" w:cs="仿宋_GB2312"/>
                <w:sz w:val="32"/>
                <w:szCs w:val="32"/>
                <w:bdr w:val="none" w:color="auto" w:sz="0" w:space="0"/>
              </w:rPr>
              <w:t>医学部</w:t>
            </w:r>
          </w:p>
        </w:tc>
        <w:tc>
          <w:tcPr>
            <w:tcW w:w="4445"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32"/>
                <w:szCs w:val="32"/>
              </w:rPr>
            </w:pPr>
            <w:r>
              <w:rPr>
                <w:rFonts w:hint="default" w:ascii="仿宋_GB2312" w:eastAsia="仿宋_GB2312" w:cs="仿宋_GB2312"/>
                <w:color w:val="333333"/>
                <w:sz w:val="32"/>
                <w:szCs w:val="32"/>
                <w:u w:val="none"/>
                <w:bdr w:val="none" w:color="auto" w:sz="0" w:space="0"/>
              </w:rPr>
              <w:fldChar w:fldCharType="begin"/>
            </w:r>
            <w:r>
              <w:rPr>
                <w:rFonts w:hint="default" w:ascii="仿宋_GB2312" w:eastAsia="仿宋_GB2312" w:cs="仿宋_GB2312"/>
                <w:color w:val="333333"/>
                <w:sz w:val="32"/>
                <w:szCs w:val="32"/>
                <w:u w:val="none"/>
                <w:bdr w:val="none" w:color="auto" w:sz="0" w:space="0"/>
              </w:rPr>
              <w:instrText xml:space="preserve"> HYPERLINK "http://mc.jgsu.edu.cn/zsjy_509/zsxx_509/202304/t20230405_119014.htm" </w:instrText>
            </w:r>
            <w:r>
              <w:rPr>
                <w:rFonts w:hint="default" w:ascii="仿宋_GB2312" w:eastAsia="仿宋_GB2312" w:cs="仿宋_GB2312"/>
                <w:color w:val="333333"/>
                <w:sz w:val="32"/>
                <w:szCs w:val="32"/>
                <w:u w:val="none"/>
                <w:bdr w:val="none" w:color="auto" w:sz="0" w:space="0"/>
              </w:rPr>
              <w:fldChar w:fldCharType="separate"/>
            </w:r>
            <w:r>
              <w:rPr>
                <w:rStyle w:val="7"/>
                <w:rFonts w:hint="default" w:ascii="仿宋_GB2312" w:eastAsia="仿宋_GB2312" w:cs="仿宋_GB2312"/>
                <w:color w:val="333333"/>
                <w:sz w:val="32"/>
                <w:szCs w:val="32"/>
                <w:u w:val="none"/>
                <w:bdr w:val="none" w:color="auto" w:sz="0" w:space="0"/>
              </w:rPr>
              <w:t>http://mc.jgsu.edu.cn/zsjy_509/zsxx_509/202304/t20230405_119014.htm</w:t>
            </w:r>
            <w:r>
              <w:rPr>
                <w:rFonts w:hint="default" w:ascii="仿宋_GB2312" w:eastAsia="仿宋_GB2312" w:cs="仿宋_GB2312"/>
                <w:color w:val="333333"/>
                <w:sz w:val="32"/>
                <w:szCs w:val="32"/>
                <w:u w:val="none"/>
                <w:bdr w:val="none" w:color="auto" w:sz="0" w:space="0"/>
              </w:rPr>
              <w:fldChar w:fldCharType="end"/>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CellMar>
            <w:top w:w="0" w:type="dxa"/>
            <w:left w:w="0" w:type="dxa"/>
            <w:bottom w:w="0" w:type="dxa"/>
            <w:right w:w="0" w:type="dxa"/>
          </w:tblCellMar>
        </w:tblPrEx>
        <w:tc>
          <w:tcPr>
            <w:tcW w:w="1526"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32"/>
                <w:szCs w:val="32"/>
              </w:rPr>
            </w:pPr>
            <w:r>
              <w:rPr>
                <w:rFonts w:hint="default" w:ascii="仿宋_GB2312" w:eastAsia="仿宋_GB2312" w:cs="仿宋_GB2312"/>
                <w:sz w:val="32"/>
                <w:szCs w:val="32"/>
                <w:bdr w:val="none" w:color="auto" w:sz="0" w:space="0"/>
              </w:rPr>
              <w:t>3</w:t>
            </w:r>
          </w:p>
        </w:tc>
        <w:tc>
          <w:tcPr>
            <w:tcW w:w="2551"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32"/>
                <w:szCs w:val="32"/>
              </w:rPr>
            </w:pPr>
            <w:r>
              <w:rPr>
                <w:rFonts w:hint="default" w:ascii="仿宋_GB2312" w:eastAsia="仿宋_GB2312" w:cs="仿宋_GB2312"/>
                <w:sz w:val="32"/>
                <w:szCs w:val="32"/>
                <w:bdr w:val="none" w:color="auto" w:sz="0" w:space="0"/>
              </w:rPr>
              <w:t>化学化工学院</w:t>
            </w:r>
          </w:p>
        </w:tc>
        <w:tc>
          <w:tcPr>
            <w:tcW w:w="4445"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32"/>
                <w:szCs w:val="32"/>
              </w:rPr>
            </w:pPr>
            <w:r>
              <w:rPr>
                <w:rFonts w:hint="default" w:ascii="仿宋_GB2312" w:eastAsia="仿宋_GB2312" w:cs="仿宋_GB2312"/>
                <w:color w:val="333333"/>
                <w:sz w:val="32"/>
                <w:szCs w:val="32"/>
                <w:u w:val="none"/>
                <w:bdr w:val="none" w:color="auto" w:sz="0" w:space="0"/>
              </w:rPr>
              <w:fldChar w:fldCharType="begin"/>
            </w:r>
            <w:r>
              <w:rPr>
                <w:rFonts w:hint="default" w:ascii="仿宋_GB2312" w:eastAsia="仿宋_GB2312" w:cs="仿宋_GB2312"/>
                <w:color w:val="333333"/>
                <w:sz w:val="32"/>
                <w:szCs w:val="32"/>
                <w:u w:val="none"/>
                <w:bdr w:val="none" w:color="auto" w:sz="0" w:space="0"/>
              </w:rPr>
              <w:instrText xml:space="preserve"> HYPERLINK "http://chem.jgsu.edu.cn/tzgg/202304/t20230405_119013.htm" </w:instrText>
            </w:r>
            <w:r>
              <w:rPr>
                <w:rFonts w:hint="default" w:ascii="仿宋_GB2312" w:eastAsia="仿宋_GB2312" w:cs="仿宋_GB2312"/>
                <w:color w:val="333333"/>
                <w:sz w:val="32"/>
                <w:szCs w:val="32"/>
                <w:u w:val="none"/>
                <w:bdr w:val="none" w:color="auto" w:sz="0" w:space="0"/>
              </w:rPr>
              <w:fldChar w:fldCharType="separate"/>
            </w:r>
            <w:r>
              <w:rPr>
                <w:rStyle w:val="7"/>
                <w:rFonts w:hint="default" w:ascii="仿宋_GB2312" w:eastAsia="仿宋_GB2312" w:cs="仿宋_GB2312"/>
                <w:color w:val="333333"/>
                <w:sz w:val="32"/>
                <w:szCs w:val="32"/>
                <w:u w:val="none"/>
                <w:bdr w:val="none" w:color="auto" w:sz="0" w:space="0"/>
              </w:rPr>
              <w:t>http://chem.jgsu.edu.cn/tzgg/202304/t20230405_119013.htm</w:t>
            </w:r>
            <w:r>
              <w:rPr>
                <w:rFonts w:hint="default" w:ascii="仿宋_GB2312" w:eastAsia="仿宋_GB2312" w:cs="仿宋_GB2312"/>
                <w:color w:val="333333"/>
                <w:sz w:val="32"/>
                <w:szCs w:val="32"/>
                <w:u w:val="none"/>
                <w:bdr w:val="none" w:color="auto" w:sz="0" w:space="0"/>
              </w:rPr>
              <w:fldChar w:fldCharType="end"/>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CellMar>
            <w:top w:w="0" w:type="dxa"/>
            <w:left w:w="0" w:type="dxa"/>
            <w:bottom w:w="0" w:type="dxa"/>
            <w:right w:w="0" w:type="dxa"/>
          </w:tblCellMar>
        </w:tblPrEx>
        <w:tc>
          <w:tcPr>
            <w:tcW w:w="1526"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32"/>
                <w:szCs w:val="32"/>
              </w:rPr>
            </w:pPr>
            <w:r>
              <w:rPr>
                <w:rFonts w:hint="default" w:ascii="仿宋_GB2312" w:eastAsia="仿宋_GB2312" w:cs="仿宋_GB2312"/>
                <w:sz w:val="32"/>
                <w:szCs w:val="32"/>
                <w:bdr w:val="none" w:color="auto" w:sz="0" w:space="0"/>
              </w:rPr>
              <w:t>4</w:t>
            </w:r>
          </w:p>
        </w:tc>
        <w:tc>
          <w:tcPr>
            <w:tcW w:w="2551"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32"/>
                <w:szCs w:val="32"/>
              </w:rPr>
            </w:pPr>
            <w:r>
              <w:rPr>
                <w:rFonts w:hint="default" w:ascii="仿宋_GB2312" w:eastAsia="仿宋_GB2312" w:cs="仿宋_GB2312"/>
                <w:sz w:val="32"/>
                <w:szCs w:val="32"/>
                <w:bdr w:val="none" w:color="auto" w:sz="0" w:space="0"/>
              </w:rPr>
              <w:t>政法学院</w:t>
            </w:r>
          </w:p>
        </w:tc>
        <w:tc>
          <w:tcPr>
            <w:tcW w:w="4445"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32"/>
                <w:szCs w:val="32"/>
              </w:rPr>
            </w:pPr>
            <w:r>
              <w:rPr>
                <w:rFonts w:hint="default" w:ascii="仿宋_GB2312" w:eastAsia="仿宋_GB2312" w:cs="仿宋_GB2312"/>
                <w:color w:val="333333"/>
                <w:sz w:val="32"/>
                <w:szCs w:val="32"/>
                <w:u w:val="none"/>
                <w:bdr w:val="none" w:color="auto" w:sz="0" w:space="0"/>
              </w:rPr>
              <w:fldChar w:fldCharType="begin"/>
            </w:r>
            <w:r>
              <w:rPr>
                <w:rFonts w:hint="default" w:ascii="仿宋_GB2312" w:eastAsia="仿宋_GB2312" w:cs="仿宋_GB2312"/>
                <w:color w:val="333333"/>
                <w:sz w:val="32"/>
                <w:szCs w:val="32"/>
                <w:u w:val="none"/>
                <w:bdr w:val="none" w:color="auto" w:sz="0" w:space="0"/>
              </w:rPr>
              <w:instrText xml:space="preserve"> HYPERLINK "http://zfxy.jgsu.edu.cn/xygg/202304/t20230406_119018.htm" </w:instrText>
            </w:r>
            <w:r>
              <w:rPr>
                <w:rFonts w:hint="default" w:ascii="仿宋_GB2312" w:eastAsia="仿宋_GB2312" w:cs="仿宋_GB2312"/>
                <w:color w:val="333333"/>
                <w:sz w:val="32"/>
                <w:szCs w:val="32"/>
                <w:u w:val="none"/>
                <w:bdr w:val="none" w:color="auto" w:sz="0" w:space="0"/>
              </w:rPr>
              <w:fldChar w:fldCharType="separate"/>
            </w:r>
            <w:r>
              <w:rPr>
                <w:rStyle w:val="7"/>
                <w:rFonts w:hint="default" w:ascii="仿宋_GB2312" w:eastAsia="仿宋_GB2312" w:cs="仿宋_GB2312"/>
                <w:color w:val="333333"/>
                <w:sz w:val="32"/>
                <w:szCs w:val="32"/>
                <w:u w:val="none"/>
                <w:bdr w:val="none" w:color="auto" w:sz="0" w:space="0"/>
              </w:rPr>
              <w:t>http://zfxy.jgsu.edu.cn/xygg/202304/t20230406_119018.htm</w:t>
            </w:r>
            <w:r>
              <w:rPr>
                <w:rFonts w:hint="default" w:ascii="仿宋_GB2312" w:eastAsia="仿宋_GB2312" w:cs="仿宋_GB2312"/>
                <w:color w:val="333333"/>
                <w:sz w:val="32"/>
                <w:szCs w:val="32"/>
                <w:u w:val="none"/>
                <w:bdr w:val="none" w:color="auto" w:sz="0" w:space="0"/>
              </w:rPr>
              <w:fldChar w:fldCharType="end"/>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rPr>
          <w:sz w:val="32"/>
          <w:szCs w:val="32"/>
        </w:rPr>
      </w:pPr>
      <w:r>
        <w:rPr>
          <w:rFonts w:hint="default" w:ascii="仿宋_GB2312" w:hAnsi="宋体" w:eastAsia="仿宋_GB2312" w:cs="仿宋_GB2312"/>
          <w:i w:val="0"/>
          <w:iCs w:val="0"/>
          <w:caps w:val="0"/>
          <w:color w:val="333333"/>
          <w:spacing w:val="0"/>
          <w:sz w:val="32"/>
          <w:szCs w:val="32"/>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rPr>
          <w:sz w:val="32"/>
          <w:szCs w:val="32"/>
        </w:rPr>
      </w:pPr>
      <w:r>
        <w:rPr>
          <w:rFonts w:hint="default" w:ascii="仿宋_GB2312" w:hAnsi="宋体" w:eastAsia="仿宋_GB2312" w:cs="仿宋_GB2312"/>
          <w:i w:val="0"/>
          <w:iCs w:val="0"/>
          <w:caps w:val="0"/>
          <w:color w:val="333333"/>
          <w:spacing w:val="0"/>
          <w:sz w:val="32"/>
          <w:szCs w:val="32"/>
          <w:bdr w:val="none" w:color="auto" w:sz="0" w:space="0"/>
          <w:shd w:val="clear" w:fill="FFFFFF"/>
        </w:rPr>
        <w:t>附件2：各学院调剂考生复试日程安排</w:t>
      </w:r>
    </w:p>
    <w:tbl>
      <w:tblPr>
        <w:tblW w:w="9351" w:type="dxa"/>
        <w:jc w:val="center"/>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Layout w:type="autofit"/>
        <w:tblCellMar>
          <w:top w:w="0" w:type="dxa"/>
          <w:left w:w="0" w:type="dxa"/>
          <w:bottom w:w="0" w:type="dxa"/>
          <w:right w:w="0" w:type="dxa"/>
        </w:tblCellMar>
      </w:tblPr>
      <w:tblGrid>
        <w:gridCol w:w="846"/>
        <w:gridCol w:w="2060"/>
        <w:gridCol w:w="1332"/>
        <w:gridCol w:w="2561"/>
        <w:gridCol w:w="2552"/>
      </w:tblGrid>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CellMar>
            <w:top w:w="0" w:type="dxa"/>
            <w:left w:w="0" w:type="dxa"/>
            <w:bottom w:w="0" w:type="dxa"/>
            <w:right w:w="0" w:type="dxa"/>
          </w:tblCellMar>
        </w:tblPrEx>
        <w:trPr>
          <w:jc w:val="center"/>
        </w:trPr>
        <w:tc>
          <w:tcPr>
            <w:tcW w:w="846"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b/>
                <w:bCs/>
                <w:sz w:val="24"/>
                <w:szCs w:val="24"/>
                <w:bdr w:val="none" w:color="auto" w:sz="0" w:space="0"/>
              </w:rPr>
              <w:t>序号</w:t>
            </w:r>
          </w:p>
        </w:tc>
        <w:tc>
          <w:tcPr>
            <w:tcW w:w="2060"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b/>
                <w:bCs/>
                <w:sz w:val="24"/>
                <w:szCs w:val="24"/>
                <w:bdr w:val="none" w:color="auto" w:sz="0" w:space="0"/>
              </w:rPr>
              <w:t>时间</w:t>
            </w:r>
          </w:p>
        </w:tc>
        <w:tc>
          <w:tcPr>
            <w:tcW w:w="1332"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b/>
                <w:bCs/>
                <w:sz w:val="24"/>
                <w:szCs w:val="24"/>
                <w:bdr w:val="none" w:color="auto" w:sz="0" w:space="0"/>
              </w:rPr>
              <w:t>工作事项</w:t>
            </w:r>
          </w:p>
        </w:tc>
        <w:tc>
          <w:tcPr>
            <w:tcW w:w="2561"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b/>
                <w:bCs/>
                <w:sz w:val="24"/>
                <w:szCs w:val="24"/>
                <w:bdr w:val="none" w:color="auto" w:sz="0" w:space="0"/>
              </w:rPr>
              <w:t>场地安排</w:t>
            </w:r>
          </w:p>
        </w:tc>
        <w:tc>
          <w:tcPr>
            <w:tcW w:w="2552"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b/>
                <w:bCs/>
                <w:sz w:val="24"/>
                <w:szCs w:val="24"/>
                <w:bdr w:val="none" w:color="auto" w:sz="0" w:space="0"/>
              </w:rPr>
              <w:t>备注</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CellMar>
            <w:top w:w="0" w:type="dxa"/>
            <w:left w:w="0" w:type="dxa"/>
            <w:bottom w:w="0" w:type="dxa"/>
            <w:right w:w="0" w:type="dxa"/>
          </w:tblCellMar>
        </w:tblPrEx>
        <w:trPr>
          <w:jc w:val="center"/>
        </w:trPr>
        <w:tc>
          <w:tcPr>
            <w:tcW w:w="846"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1</w:t>
            </w:r>
          </w:p>
        </w:tc>
        <w:tc>
          <w:tcPr>
            <w:tcW w:w="2060"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4月9日下午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14:00-18:00</w:t>
            </w:r>
          </w:p>
        </w:tc>
        <w:tc>
          <w:tcPr>
            <w:tcW w:w="1332"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资格审查</w:t>
            </w:r>
          </w:p>
        </w:tc>
        <w:tc>
          <w:tcPr>
            <w:tcW w:w="2561"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行政楼一楼109办公室</w:t>
            </w:r>
          </w:p>
        </w:tc>
        <w:tc>
          <w:tcPr>
            <w:tcW w:w="2552"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pPr>
            <w:r>
              <w:rPr>
                <w:rFonts w:hint="eastAsia" w:ascii="宋体" w:hAnsi="宋体" w:eastAsia="宋体" w:cs="宋体"/>
                <w:sz w:val="24"/>
                <w:szCs w:val="24"/>
                <w:bdr w:val="none" w:color="auto" w:sz="0" w:space="0"/>
              </w:rPr>
              <w:t>调剂同等学力考生</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CellMar>
            <w:top w:w="0" w:type="dxa"/>
            <w:left w:w="0" w:type="dxa"/>
            <w:bottom w:w="0" w:type="dxa"/>
            <w:right w:w="0" w:type="dxa"/>
          </w:tblCellMar>
        </w:tblPrEx>
        <w:trPr>
          <w:jc w:val="center"/>
        </w:trPr>
        <w:tc>
          <w:tcPr>
            <w:tcW w:w="846"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2</w:t>
            </w:r>
          </w:p>
        </w:tc>
        <w:tc>
          <w:tcPr>
            <w:tcW w:w="2060"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4月10日上午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8:00-12:00</w:t>
            </w:r>
          </w:p>
        </w:tc>
        <w:tc>
          <w:tcPr>
            <w:tcW w:w="1332"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资格审查</w:t>
            </w:r>
          </w:p>
        </w:tc>
        <w:tc>
          <w:tcPr>
            <w:tcW w:w="2561"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行政楼一楼109办公室</w:t>
            </w:r>
          </w:p>
        </w:tc>
        <w:tc>
          <w:tcPr>
            <w:tcW w:w="2552"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调剂其他考生</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CellMar>
            <w:top w:w="0" w:type="dxa"/>
            <w:left w:w="0" w:type="dxa"/>
            <w:bottom w:w="0" w:type="dxa"/>
            <w:right w:w="0" w:type="dxa"/>
          </w:tblCellMar>
        </w:tblPrEx>
        <w:trPr>
          <w:jc w:val="center"/>
        </w:trPr>
        <w:tc>
          <w:tcPr>
            <w:tcW w:w="846" w:type="dxa"/>
            <w:vMerge w:val="restart"/>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3</w:t>
            </w:r>
          </w:p>
        </w:tc>
        <w:tc>
          <w:tcPr>
            <w:tcW w:w="2060"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4月10日上午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8:00-10:00</w:t>
            </w:r>
          </w:p>
        </w:tc>
        <w:tc>
          <w:tcPr>
            <w:tcW w:w="1332"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同等学力加试科目1</w:t>
            </w:r>
          </w:p>
        </w:tc>
        <w:tc>
          <w:tcPr>
            <w:tcW w:w="2561"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21栋教学楼203</w:t>
            </w:r>
          </w:p>
        </w:tc>
        <w:tc>
          <w:tcPr>
            <w:tcW w:w="2552" w:type="dxa"/>
            <w:vMerge w:val="restart"/>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1.候考室：21栋教学楼202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2.考务办公室：21栋教学楼202</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CellMar>
            <w:top w:w="0" w:type="dxa"/>
            <w:left w:w="0" w:type="dxa"/>
            <w:bottom w:w="0" w:type="dxa"/>
            <w:right w:w="0" w:type="dxa"/>
          </w:tblCellMar>
        </w:tblPrEx>
        <w:trPr>
          <w:jc w:val="center"/>
        </w:trPr>
        <w:tc>
          <w:tcPr>
            <w:tcW w:w="846" w:type="dxa"/>
            <w:vMerge w:val="continue"/>
            <w:tcBorders>
              <w:top w:val="nil"/>
              <w:left w:val="single" w:color="auto" w:sz="8" w:space="0"/>
              <w:bottom w:val="single" w:color="auto" w:sz="8" w:space="0"/>
              <w:right w:val="single" w:color="auto" w:sz="8" w:space="0"/>
            </w:tcBorders>
            <w:shd w:val="clear"/>
            <w:tcMar>
              <w:left w:w="108" w:type="dxa"/>
              <w:right w:w="108" w:type="dxa"/>
            </w:tcMar>
            <w:vAlign w:val="top"/>
          </w:tcPr>
          <w:p>
            <w:pPr>
              <w:rPr>
                <w:rFonts w:hint="eastAsia" w:ascii="宋体"/>
                <w:sz w:val="24"/>
                <w:szCs w:val="24"/>
              </w:rPr>
            </w:pPr>
          </w:p>
        </w:tc>
        <w:tc>
          <w:tcPr>
            <w:tcW w:w="2060"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4月10日上午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10:10-12:10</w:t>
            </w:r>
          </w:p>
        </w:tc>
        <w:tc>
          <w:tcPr>
            <w:tcW w:w="1332"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同等学力加试科目2</w:t>
            </w:r>
          </w:p>
        </w:tc>
        <w:tc>
          <w:tcPr>
            <w:tcW w:w="2561"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21栋教学楼203</w:t>
            </w:r>
          </w:p>
        </w:tc>
        <w:tc>
          <w:tcPr>
            <w:tcW w:w="2552" w:type="dxa"/>
            <w:vMerge w:val="continue"/>
            <w:tcBorders>
              <w:top w:val="nil"/>
              <w:left w:val="single" w:color="auto" w:sz="8" w:space="0"/>
              <w:bottom w:val="single" w:color="auto" w:sz="8" w:space="0"/>
              <w:right w:val="single" w:color="auto" w:sz="8" w:space="0"/>
            </w:tcBorders>
            <w:shd w:val="clear"/>
            <w:tcMar>
              <w:left w:w="108" w:type="dxa"/>
              <w:right w:w="108" w:type="dxa"/>
            </w:tcMar>
            <w:vAlign w:val="top"/>
          </w:tcPr>
          <w:p>
            <w:pPr>
              <w:rPr>
                <w:rFonts w:hint="eastAsia" w:ascii="宋体"/>
                <w:sz w:val="24"/>
                <w:szCs w:val="24"/>
              </w:rPr>
            </w:pP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CellMar>
            <w:top w:w="0" w:type="dxa"/>
            <w:left w:w="0" w:type="dxa"/>
            <w:bottom w:w="0" w:type="dxa"/>
            <w:right w:w="0" w:type="dxa"/>
          </w:tblCellMar>
        </w:tblPrEx>
        <w:trPr>
          <w:jc w:val="center"/>
        </w:trPr>
        <w:tc>
          <w:tcPr>
            <w:tcW w:w="846"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4</w:t>
            </w:r>
          </w:p>
        </w:tc>
        <w:tc>
          <w:tcPr>
            <w:tcW w:w="2060"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4月10日下午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14:00-16:00</w:t>
            </w:r>
          </w:p>
        </w:tc>
        <w:tc>
          <w:tcPr>
            <w:tcW w:w="1332"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专业基础课笔试</w:t>
            </w:r>
          </w:p>
        </w:tc>
        <w:tc>
          <w:tcPr>
            <w:tcW w:w="2561"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21栋教学楼107、108、109（生物技术与工程）；210（制药工程、社会工作）；110（发酵工程）</w:t>
            </w:r>
          </w:p>
        </w:tc>
        <w:tc>
          <w:tcPr>
            <w:tcW w:w="2552"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考务办公室：21栋教学楼202</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CellMar>
            <w:top w:w="0" w:type="dxa"/>
            <w:left w:w="0" w:type="dxa"/>
            <w:bottom w:w="0" w:type="dxa"/>
            <w:right w:w="0" w:type="dxa"/>
          </w:tblCellMar>
        </w:tblPrEx>
        <w:trPr>
          <w:jc w:val="center"/>
        </w:trPr>
        <w:tc>
          <w:tcPr>
            <w:tcW w:w="846"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5</w:t>
            </w:r>
          </w:p>
        </w:tc>
        <w:tc>
          <w:tcPr>
            <w:tcW w:w="2060"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4月10日下午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16:30-17:30</w:t>
            </w:r>
          </w:p>
        </w:tc>
        <w:tc>
          <w:tcPr>
            <w:tcW w:w="1332"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心理测试</w:t>
            </w:r>
          </w:p>
        </w:tc>
        <w:tc>
          <w:tcPr>
            <w:tcW w:w="2561"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10栋教学楼C区406、409机房</w:t>
            </w:r>
          </w:p>
        </w:tc>
        <w:tc>
          <w:tcPr>
            <w:tcW w:w="2552"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CellMar>
            <w:top w:w="0" w:type="dxa"/>
            <w:left w:w="0" w:type="dxa"/>
            <w:bottom w:w="0" w:type="dxa"/>
            <w:right w:w="0" w:type="dxa"/>
          </w:tblCellMar>
        </w:tblPrEx>
        <w:trPr>
          <w:trHeight w:val="1236" w:hRule="atLeast"/>
          <w:jc w:val="center"/>
        </w:trPr>
        <w:tc>
          <w:tcPr>
            <w:tcW w:w="846"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6</w:t>
            </w:r>
          </w:p>
        </w:tc>
        <w:tc>
          <w:tcPr>
            <w:tcW w:w="2060"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4月11日全天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8:30-18:00</w:t>
            </w:r>
          </w:p>
        </w:tc>
        <w:tc>
          <w:tcPr>
            <w:tcW w:w="1332"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专业综合能力面试</w:t>
            </w:r>
          </w:p>
        </w:tc>
        <w:tc>
          <w:tcPr>
            <w:tcW w:w="2561"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21栋教学楼107、108、109、110（生物技术与工程）；210、211（制药工程）；205、204（发酵工程）；203（社会工作士兵计划）</w:t>
            </w:r>
          </w:p>
        </w:tc>
        <w:tc>
          <w:tcPr>
            <w:tcW w:w="2552"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1. 候考室：21栋教学楼106</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2. 考务办公室：21栋教学楼103</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shd w:val="clear"/>
          <w:tblCellMar>
            <w:top w:w="0" w:type="dxa"/>
            <w:left w:w="0" w:type="dxa"/>
            <w:bottom w:w="0" w:type="dxa"/>
            <w:right w:w="0" w:type="dxa"/>
          </w:tblCellMar>
        </w:tblPrEx>
        <w:trPr>
          <w:jc w:val="center"/>
        </w:trPr>
        <w:tc>
          <w:tcPr>
            <w:tcW w:w="846"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7</w:t>
            </w:r>
          </w:p>
        </w:tc>
        <w:tc>
          <w:tcPr>
            <w:tcW w:w="2060"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4月12日早上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7:00-12:00</w:t>
            </w:r>
          </w:p>
        </w:tc>
        <w:tc>
          <w:tcPr>
            <w:tcW w:w="1332"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体检</w:t>
            </w:r>
          </w:p>
        </w:tc>
        <w:tc>
          <w:tcPr>
            <w:tcW w:w="2561"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学校医务所</w:t>
            </w:r>
          </w:p>
        </w:tc>
        <w:tc>
          <w:tcPr>
            <w:tcW w:w="2552"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pPr>
            <w:r>
              <w:rPr>
                <w:rFonts w:hint="eastAsia" w:ascii="宋体" w:hAnsi="宋体" w:eastAsia="宋体" w:cs="宋体"/>
                <w:sz w:val="24"/>
                <w:szCs w:val="24"/>
                <w:bdr w:val="none" w:color="auto" w:sz="0" w:space="0"/>
              </w:rPr>
              <w:t>　</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center"/>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kern w:val="0"/>
          <w:sz w:val="32"/>
          <w:szCs w:val="32"/>
          <w:bdr w:val="none" w:color="auto" w:sz="0" w:space="0"/>
          <w:shd w:val="clear" w:fill="FFFFFF"/>
          <w:lang w:val="en-US" w:eastAsia="zh-CN" w:bidi="ar"/>
        </w:rPr>
        <w:t>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4MGMwYjhiZjFmMzJkYmEzMTU1NDVlZmJiYjVkZGUifQ=="/>
  </w:docVars>
  <w:rsids>
    <w:rsidRoot w:val="00000000"/>
    <w:rsid w:val="20353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1091</Words>
  <Characters>1557</Characters>
  <Lines>0</Lines>
  <Paragraphs>0</Paragraphs>
  <TotalTime>0</TotalTime>
  <ScaleCrop>false</ScaleCrop>
  <LinksUpToDate>false</LinksUpToDate>
  <CharactersWithSpaces>1571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2023-05-03T08:58:17Z</dcterms:created>
  <dc:creator>DELL</dc:creator>
  <cp:lastModifiedBy>曾经的那个老吴</cp:lastModifiedBy>
  <dcterms:modified xsi:type="dcterms:W3CDTF">2023-05-03T08:58:19Z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15C6A782D9814D679F06FE732E5C147A_12</vt:lpwstr>
  </property>
</Properties>
</file>