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1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佛山科学技术学院机电工程与自动化学院2023年研究生招生机械工程专业第一批复试名单（第一志愿）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2023-03-24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b w:val="0"/>
          <w:bCs w:val="0"/>
          <w:sz w:val="14"/>
          <w:szCs w:val="14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b w:val="0"/>
          <w:bCs w:val="0"/>
          <w:sz w:val="14"/>
          <w:szCs w:val="14"/>
        </w:rPr>
      </w:pPr>
      <w:r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我校执行《2023年全国硕士研究生招生考试考生进入复试的初试成绩基本要求》规定的A类考生分数线。第一志愿考生复试名单详见下表，请相关考生严格按照</w:t>
      </w:r>
      <w:bookmarkStart w:id="0" w:name="_Hlk130560945"/>
      <w:bookmarkEnd w:id="0"/>
      <w:r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机电工程与自动化学院官网发布的机械工程专业2023年硕士研究生复试录取工作实施细则的要求，提前准备好材料，并按照其通知要求参加复试。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复试时间：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请留意学院官网通知。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佛山科学技术学院机电工程与自动化学院2023年研究生招生机械工程专业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第一批复试名单（第一志愿）</w:t>
      </w:r>
    </w:p>
    <w:tbl>
      <w:tblPr>
        <w:tblW w:w="836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2240"/>
        <w:gridCol w:w="681"/>
        <w:gridCol w:w="681"/>
        <w:gridCol w:w="681"/>
        <w:gridCol w:w="681"/>
        <w:gridCol w:w="800"/>
        <w:gridCol w:w="800"/>
        <w:gridCol w:w="1160"/>
        <w:gridCol w:w="68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复试专业代码及名称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118473000000876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焜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C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left"/>
      </w:pPr>
      <w:bookmarkStart w:id="1" w:name="_Hlk130560965"/>
      <w:bookmarkEnd w:id="1"/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另附我校研究生学院所发的文件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"https://www.fosu.edu.cn/yanjiusheng/zsgz/zsdt-zsgz/12677.html"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u w:val="none"/>
          <w:bdr w:val="none" w:color="auto" w:sz="0" w:space="0"/>
          <w:shd w:val="clear" w:fill="FFFFFF"/>
        </w:rPr>
        <w:t>《佛山科学技术学院2023年硕士研究生复试录取办法》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机电工程与自动化学院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2023年3月24日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B44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403</Characters>
  <Lines>0</Lines>
  <Paragraphs>0</Paragraphs>
  <TotalTime>0</TotalTime>
  <ScaleCrop>false</ScaleCrop>
  <LinksUpToDate>false</LinksUpToDate>
  <CharactersWithSpaces>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2023-04-16T07:47:58Z</dcterms:created>
  <dc:creator>DELL</dc:creator>
  <cp:lastModifiedBy>曾经的那个老吴</cp:lastModifiedBy>
  <dcterms:modified xsi:type="dcterms:W3CDTF">2023-04-16T07:48:00Z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46316BA3CFFE49CCB0BC978A774C9C39_12</vt:lpwstr>
  </property>
</Properties>
</file>