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11A55"/>
        <w:spacing w:before="180" w:beforeAutospacing="0" w:after="18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FFFFFF" w:themeColor="background1"/>
          <w:spacing w:val="0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FFFF" w:themeColor="background1"/>
          <w:spacing w:val="0"/>
          <w:sz w:val="21"/>
          <w:szCs w:val="21"/>
          <w:bdr w:val="none" w:color="auto" w:sz="0" w:space="0"/>
          <w:shd w:val="clear" w:fill="011A55"/>
          <w14:textFill>
            <w14:solidFill>
              <w14:schemeClr w14:val="bg1"/>
            </w14:solidFill>
          </w14:textFill>
        </w:rPr>
        <w:t>电力学院2023年硕士研究生调剂工作实施细则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011A55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FFFFFF" w:themeColor="background1"/>
          <w:spacing w:val="0"/>
          <w:sz w:val="14"/>
          <w:szCs w:val="14"/>
          <w14:textFill>
            <w14:solidFill>
              <w14:schemeClr w14:val="bg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 w:themeColor="background1"/>
          <w:spacing w:val="0"/>
          <w:kern w:val="0"/>
          <w:sz w:val="14"/>
          <w:szCs w:val="14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2023年04月04日  点击：[1162]</w:t>
      </w:r>
    </w:p>
    <w:p>
      <w:pPr>
        <w:keepNext w:val="0"/>
        <w:keepLines w:val="0"/>
        <w:widowControl/>
        <w:suppressLineNumbers w:val="0"/>
        <w:shd w:val="clear" w:fill="011A55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FFFFFF" w:themeColor="background1"/>
          <w:spacing w:val="0"/>
          <w:sz w:val="27"/>
          <w:szCs w:val="27"/>
          <w14:textFill>
            <w14:solidFill>
              <w14:schemeClr w14:val="bg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 w:themeColor="background1"/>
          <w:spacing w:val="0"/>
          <w:sz w:val="14"/>
          <w:szCs w:val="14"/>
          <w14:textFill>
            <w14:solidFill>
              <w14:schemeClr w14:val="bg1"/>
            </w14:solidFill>
          </w14:textFill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center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FFFFFF" w:themeColor="background1"/>
          <w:spacing w:val="0"/>
          <w:kern w:val="0"/>
          <w:sz w:val="44"/>
          <w:szCs w:val="44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电力学院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FFFFFF" w:themeColor="background1"/>
          <w:spacing w:val="0"/>
          <w:kern w:val="0"/>
          <w:sz w:val="44"/>
          <w:szCs w:val="44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2023年硕士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center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FFFFFF" w:themeColor="background1"/>
          <w:spacing w:val="0"/>
          <w:kern w:val="0"/>
          <w:sz w:val="44"/>
          <w:szCs w:val="44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研究生调剂工作实施细则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420"/>
        <w:jc w:val="center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FFFFFF" w:themeColor="background1"/>
          <w:spacing w:val="0"/>
          <w:kern w:val="0"/>
          <w:sz w:val="44"/>
          <w:szCs w:val="44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07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一、调剂基本要求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07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符合《内蒙古工业大学2023年全国硕士研究生招生复试录取工作办法》中的考生调剂基本要求。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07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二、调剂学术要求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646"/>
        <w:jc w:val="both"/>
        <w:rPr>
          <w:rFonts w:hint="eastAsia" w:ascii="宋体" w:hAnsi="宋体" w:eastAsia="宋体" w:cs="宋体"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FFFFFF" w:themeColor="background1"/>
          <w:spacing w:val="0"/>
          <w:sz w:val="32"/>
          <w:szCs w:val="32"/>
          <w:bdr w:val="none" w:color="auto" w:sz="0" w:space="0"/>
          <w:shd w:val="clear" w:fill="011A55"/>
          <w14:textFill>
            <w14:solidFill>
              <w14:schemeClr w14:val="bg1"/>
            </w14:solidFill>
          </w14:textFill>
        </w:rPr>
        <w:t>初试成绩应符合第一志愿报考学科在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FFFFFF" w:themeColor="background1"/>
          <w:spacing w:val="0"/>
          <w:sz w:val="32"/>
          <w:szCs w:val="32"/>
          <w:bdr w:val="none" w:color="auto" w:sz="0" w:space="0"/>
          <w:shd w:val="clear" w:fill="011A55"/>
          <w:lang w:val="en-US"/>
          <w14:textFill>
            <w14:solidFill>
              <w14:schemeClr w14:val="bg1"/>
            </w14:solidFill>
          </w14:textFill>
        </w:rPr>
        <w:t>2023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FFFFFF" w:themeColor="background1"/>
          <w:spacing w:val="0"/>
          <w:sz w:val="32"/>
          <w:szCs w:val="32"/>
          <w:bdr w:val="none" w:color="auto" w:sz="0" w:space="0"/>
          <w:shd w:val="clear" w:fill="011A55"/>
          <w14:textFill>
            <w14:solidFill>
              <w14:schemeClr w14:val="bg1"/>
            </w14:solidFill>
          </w14:textFill>
        </w:rPr>
        <w:t>年二区的全国初试成绩基本要求。初试科目应与调入学科初试科目相同或相近，其中考数学二考生不可以调入要求考数学一的学科。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646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只接收本科专业与调剂学科相同或相近的考生调剂，各学科具体要求见下表。</w:t>
      </w:r>
    </w:p>
    <w:tbl>
      <w:tblPr>
        <w:tblW w:w="875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36"/>
        <w:gridCol w:w="601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27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调剂学科</w:t>
            </w:r>
          </w:p>
        </w:tc>
        <w:tc>
          <w:tcPr>
            <w:tcW w:w="60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本科专业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27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电气工程(080800)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电气工程(085801)</w:t>
            </w:r>
          </w:p>
        </w:tc>
        <w:tc>
          <w:tcPr>
            <w:tcW w:w="6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both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电气工程及其自动化、智能电网信息工程、电机电器智能化、电气工程与智能控制、自动化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控制科学与工程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(081100)</w:t>
            </w:r>
          </w:p>
        </w:tc>
        <w:tc>
          <w:tcPr>
            <w:tcW w:w="6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both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自动化、电子信息工程、测控技术与仪器、探测制导与控制技术、电气工程及其自动化、机器人工程、电气工程与智能控制、工业智能、计算机科学与技术，除自动化专业外，其他专业调剂人数不超过总调剂人数的50%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控制工程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(085406)</w:t>
            </w:r>
          </w:p>
        </w:tc>
        <w:tc>
          <w:tcPr>
            <w:tcW w:w="6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left"/>
              <w:rPr>
                <w:rFonts w:hint="default" w:ascii="Times New Roman" w:hAnsi="Times New Roman" w:cs="Times New Roman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仿宋_GB2312" w:hAnsi="Times New Roman" w:eastAsia="仿宋_GB2312" w:cs="仿宋_GB2312"/>
                <w:color w:val="FFFFFF" w:themeColor="background1"/>
                <w:kern w:val="0"/>
                <w:sz w:val="28"/>
                <w:szCs w:val="28"/>
                <w:bdr w:val="none" w:color="auto" w:sz="0" w:space="0"/>
                <w:lang w:val="en-US" w:eastAsia="zh-CN" w:bidi="ar"/>
                <w14:textFill>
                  <w14:solidFill>
                    <w14:schemeClr w14:val="bg1"/>
                  </w14:solidFill>
                </w14:textFill>
              </w:rPr>
              <w:t>自动化、电子信息工程、测控技术与仪器、探测制导与控制技术、电气工程及其自动化、机器人工程、电气工程与智能控制、工业智能、计算机科学与技术，除自动化专业外，其他专业调剂人数不超过总调剂人数的50%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07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满足调剂学科要求的考生，按照调剂系统开放时间内考生初试科目政治、英语、数学成绩之和排序，从高到低调剂。三科成绩之和相同时，按照数学、英语、政治的科目顺序，分数从高到低调剂。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07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三、调剂比例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646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学院实行差额复试，各学科、专业学位点调剂比例不低于1:1.2。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07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四、调剂志愿解锁申请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646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如需提前解锁本院调剂志愿，请使用考生本人在2023年研究生考试报名时填写的电子邮箱发送个人信息（包括准考证号、姓名、身份证号）至369397625@qq.com。以便学校确认身份并进行调剂志愿解锁操作。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707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五、咨询电话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646"/>
        <w:jc w:val="both"/>
        <w:rPr>
          <w:rFonts w:hint="default" w:ascii="Times New Roman" w:hAnsi="Times New Roman" w:cs="Times New Roman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FFFFFF" w:themeColor="background1"/>
          <w:spacing w:val="0"/>
          <w:kern w:val="0"/>
          <w:sz w:val="32"/>
          <w:szCs w:val="32"/>
          <w:bdr w:val="none" w:color="auto" w:sz="0" w:space="0"/>
          <w:shd w:val="clear" w:fill="011A55"/>
          <w:lang w:val="en-US" w:eastAsia="zh-CN" w:bidi="ar"/>
          <w14:textFill>
            <w14:solidFill>
              <w14:schemeClr w14:val="bg1"/>
            </w14:solidFill>
          </w14:textFill>
        </w:rPr>
        <w:t>0471-3602325，刘老师</w:t>
      </w:r>
    </w:p>
    <w:p>
      <w:pPr>
        <w:rPr>
          <w:color w:val="FFFFFF" w:themeColor="background1"/>
          <w14:textFill>
            <w14:solidFill>
              <w14:schemeClr w14:val="bg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03E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700</Words>
  <Characters>787</Characters>
  <Lines>0</Lines>
  <Paragraphs>0</Paragraphs>
  <TotalTime>0</TotalTime>
  <ScaleCrop>false</ScaleCrop>
  <LinksUpToDate>false</LinksUpToDate>
  <CharactersWithSpaces>790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2023-05-15T01:11:30Z</dcterms:created>
  <dc:creator>DELL</dc:creator>
  <cp:lastModifiedBy>曾经的那个老吴</cp:lastModifiedBy>
  <dcterms:modified xsi:type="dcterms:W3CDTF">2023-05-15T01:11:54Z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F55A5C83A8A14E6BAF848CA90FC23D94_12</vt:lpwstr>
  </property>
</Properties>
</file>