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/>
        <w:jc w:val="center"/>
        <w:rPr>
          <w:rFonts w:ascii="-webkit-animation-iteration-count: 1;-o-animation-iteration-coun" w:hAnsi="-webkit-animation-iteration-count: 1;-o-animation-iteration-coun" w:eastAsia="-webkit-animation-iteration-count: 1;-o-animation-iteration-coun" w:cs="-webkit-animation-iteration-count: 1;-o-animation-iteration-coun"/>
          <w:sz w:val="24"/>
          <w:szCs w:val="24"/>
        </w:rPr>
      </w:pPr>
      <w:bookmarkStart w:id="0" w:name="_GoBack"/>
      <w:r>
        <w:rPr>
          <w:rFonts w:hint="default" w:ascii="-webkit-animation-iteration-count: 1;-o-animation-iteration-coun" w:hAnsi="-webkit-animation-iteration-count: 1;-o-animation-iteration-coun" w:eastAsia="-webkit-animation-iteration-count: 1;-o-animation-iteration-coun" w:cs="-webkit-animation-iteration-count: 1;-o-animation-iteration-coun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2023年理学院数学（应用数学）（调剂第2批）研究生复试名单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5E5E5" w:sz="4" w:space="0"/>
          <w:right w:val="none" w:color="auto" w:sz="0" w:space="0"/>
        </w:pBdr>
        <w:spacing w:before="0" w:beforeAutospacing="0" w:after="50" w:afterAutospacing="0" w:line="340" w:lineRule="atLeast"/>
        <w:ind w:left="200" w:right="20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发布时间：2023-04-10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0" w:lineRule="atLeast"/>
        <w:ind w:left="0" w:right="0" w:firstLine="0"/>
        <w:jc w:val="left"/>
        <w:rPr>
          <w:rFonts w:ascii="微软雅黑" w:hAnsi="微软雅黑" w:eastAsia="微软雅黑" w:cs="微软雅黑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0" w:lineRule="atLeast"/>
        <w:ind w:left="0" w:right="0" w:firstLine="2108"/>
        <w:jc w:val="left"/>
      </w:pPr>
      <w:r>
        <w:rPr>
          <w:rFonts w:hint="eastAsia" w:ascii="微软雅黑" w:hAnsi="微软雅黑" w:eastAsia="微软雅黑" w:cs="微软雅黑"/>
          <w:b/>
          <w:bCs/>
          <w:caps w:val="0"/>
          <w:color w:val="333333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2023年理学院数学（应用数学）（调剂第2批）研究生复试名单</w:t>
      </w:r>
    </w:p>
    <w:tbl>
      <w:tblPr>
        <w:tblpPr w:vertAnchor="text" w:tblpXSpec="left"/>
        <w:tblW w:w="765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2"/>
        <w:gridCol w:w="764"/>
        <w:gridCol w:w="1937"/>
        <w:gridCol w:w="774"/>
        <w:gridCol w:w="879"/>
        <w:gridCol w:w="765"/>
        <w:gridCol w:w="943"/>
        <w:gridCol w:w="105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1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1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12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业务课一</w:t>
            </w:r>
          </w:p>
        </w:tc>
        <w:tc>
          <w:tcPr>
            <w:tcW w:w="184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业务课二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孙显峰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102133000008987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张欣鸽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107193000005241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蒋滨瑶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106113006070552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孟辰龙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110783123416359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陈梓俊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104973400338980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7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李赟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100023115810116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righ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0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caps w:val="0"/>
          <w:color w:val="333333"/>
          <w:spacing w:val="0"/>
          <w:kern w:val="0"/>
          <w:sz w:val="20"/>
          <w:szCs w:val="20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0EEEF"/>
        <w:spacing w:before="0" w:beforeAutospacing="0" w:after="100" w:afterAutospacing="0" w:line="4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0EEE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0EEEF"/>
          <w:lang w:val="en-US" w:eastAsia="zh-CN" w:bidi="ar"/>
        </w:rPr>
        <w:instrText xml:space="preserve"> HYPERLINK "https://science.bistu.edu.cn/gsgg/202304/t20230410_387868.html" \o "打印文章" \t "https://science.bistu.edu.cn/gsgg/202304/_blank"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0EEEF"/>
          <w:lang w:val="en-US" w:eastAsia="zh-CN" w:bidi="ar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0EEEF"/>
        </w:rPr>
        <w:t>[打印文章]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0EEE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0EEEF"/>
        <w:spacing w:before="0" w:beforeAutospacing="0" w:after="0" w:afterAutospacing="0" w:line="4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0EEE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0EEEF"/>
          <w:lang w:val="en-US" w:eastAsia="zh-CN" w:bidi="ar"/>
        </w:rPr>
        <w:instrText xml:space="preserve"> HYPERLINK "https://science.bistu.edu.cn/gsgg/202304/P020230410492580453277.pdf" \o "北京信息科技大学理学院2023年硕士研究生调剂申请接收公告（三）"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0EEEF"/>
          <w:lang w:val="en-US" w:eastAsia="zh-CN" w:bidi="ar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0EEEF"/>
        </w:rPr>
        <w:t>下一篇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0EEEF"/>
          <w:lang w:val="en-US" w:eastAsia="zh-CN" w:bidi="ar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-webkit-animation-iteration-count: 1;-o-animation-iteration-cou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9E44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2023-04-16T11:41:45Z</dcterms:created>
  <dc:creator>Administrator</dc:creator>
  <cp:lastModifiedBy>王英</cp:lastModifiedBy>
  <dcterms:modified xsi:type="dcterms:W3CDTF">2023-04-16T11:41:51Z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69A92243960E44919435FAE47FC1722E</vt:lpwstr>
  </property>
</Properties>
</file>