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ascii="幼圆" w:hAnsi="幼圆" w:eastAsia="幼圆" w:cs="幼圆"/>
          <w:b/>
          <w:bCs/>
          <w:i w:val="0"/>
          <w:iCs w:val="0"/>
          <w:caps w:val="0"/>
          <w:color w:val="004A9D"/>
          <w:spacing w:val="0"/>
          <w:sz w:val="20"/>
          <w:szCs w:val="20"/>
        </w:rPr>
      </w:pPr>
    </w:p>
    <w:tbl>
      <w:tblPr>
        <w:tblW w:w="0" w:type="auto"/>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8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noWrap/>
            <w:vAlign w:val="bottom"/>
          </w:tcPr>
          <w:p>
            <w:pPr>
              <w:keepNext w:val="0"/>
              <w:keepLines w:val="0"/>
              <w:widowControl/>
              <w:suppressLineNumbers w:val="0"/>
              <w:spacing w:before="0" w:beforeAutospacing="0" w:after="0" w:afterAutospacing="0"/>
              <w:ind w:left="0" w:right="0"/>
              <w:jc w:val="left"/>
              <w:textAlignment w:val="bottom"/>
              <w:rPr>
                <w:rFonts w:hint="eastAsia" w:ascii="宋体" w:hAnsi="宋体" w:eastAsia="宋体" w:cs="宋体"/>
                <w:color w:val="222222"/>
                <w:sz w:val="18"/>
                <w:szCs w:val="18"/>
              </w:rPr>
            </w:pPr>
            <w:r>
              <w:rPr>
                <w:rFonts w:hint="eastAsia" w:ascii="宋体" w:hAnsi="宋体" w:eastAsia="宋体" w:cs="宋体"/>
                <w:color w:val="222222"/>
                <w:kern w:val="0"/>
                <w:sz w:val="18"/>
                <w:szCs w:val="18"/>
                <w:bdr w:val="none" w:color="auto" w:sz="0" w:space="0"/>
                <w:lang w:val="en-US" w:eastAsia="zh-CN" w:bidi="ar"/>
              </w:rPr>
              <w:t>当前位置： </w:t>
            </w:r>
            <w:r>
              <w:rPr>
                <w:rFonts w:hint="eastAsia" w:ascii="宋体" w:hAnsi="宋体" w:eastAsia="宋体" w:cs="宋体"/>
                <w:kern w:val="0"/>
                <w:sz w:val="18"/>
                <w:szCs w:val="18"/>
                <w:u w:val="none"/>
                <w:bdr w:val="none" w:color="auto" w:sz="0" w:space="0"/>
                <w:lang w:val="en-US" w:eastAsia="zh-CN" w:bidi="ar"/>
              </w:rPr>
              <w:fldChar w:fldCharType="begin"/>
            </w:r>
            <w:r>
              <w:rPr>
                <w:rFonts w:hint="eastAsia" w:ascii="宋体" w:hAnsi="宋体" w:eastAsia="宋体" w:cs="宋体"/>
                <w:kern w:val="0"/>
                <w:sz w:val="18"/>
                <w:szCs w:val="18"/>
                <w:u w:val="none"/>
                <w:bdr w:val="none" w:color="auto" w:sz="0" w:space="0"/>
                <w:lang w:val="en-US" w:eastAsia="zh-CN" w:bidi="ar"/>
              </w:rPr>
              <w:instrText xml:space="preserve"> HYPERLINK "https://grad.beihua.edu.cn/index.htm" </w:instrText>
            </w:r>
            <w:r>
              <w:rPr>
                <w:rFonts w:hint="eastAsia" w:ascii="宋体" w:hAnsi="宋体" w:eastAsia="宋体" w:cs="宋体"/>
                <w:kern w:val="0"/>
                <w:sz w:val="18"/>
                <w:szCs w:val="18"/>
                <w:u w:val="none"/>
                <w:bdr w:val="none" w:color="auto" w:sz="0" w:space="0"/>
                <w:lang w:val="en-US" w:eastAsia="zh-CN" w:bidi="ar"/>
              </w:rPr>
              <w:fldChar w:fldCharType="separate"/>
            </w:r>
            <w:r>
              <w:rPr>
                <w:rStyle w:val="6"/>
                <w:rFonts w:hint="eastAsia" w:ascii="宋体" w:hAnsi="宋体" w:eastAsia="宋体" w:cs="宋体"/>
                <w:color w:val="222222"/>
                <w:sz w:val="18"/>
                <w:szCs w:val="18"/>
                <w:u w:val="none"/>
                <w:bdr w:val="none" w:color="auto" w:sz="0" w:space="0"/>
              </w:rPr>
              <w:t>首页</w:t>
            </w:r>
            <w:r>
              <w:rPr>
                <w:rFonts w:hint="eastAsia" w:ascii="宋体" w:hAnsi="宋体" w:eastAsia="宋体" w:cs="宋体"/>
                <w:kern w:val="0"/>
                <w:sz w:val="18"/>
                <w:szCs w:val="18"/>
                <w:u w:val="none"/>
                <w:bdr w:val="none" w:color="auto" w:sz="0" w:space="0"/>
                <w:lang w:val="en-US" w:eastAsia="zh-CN" w:bidi="ar"/>
              </w:rPr>
              <w:fldChar w:fldCharType="end"/>
            </w:r>
            <w:r>
              <w:rPr>
                <w:rFonts w:hint="eastAsia" w:ascii="宋体" w:hAnsi="宋体" w:eastAsia="宋体" w:cs="宋体"/>
                <w:color w:val="222222"/>
                <w:kern w:val="0"/>
                <w:sz w:val="18"/>
                <w:szCs w:val="18"/>
                <w:bdr w:val="none" w:color="auto" w:sz="0" w:space="0"/>
                <w:lang w:val="en-US" w:eastAsia="zh-CN" w:bidi="ar"/>
              </w:rPr>
              <w:t>&gt;&gt;</w:t>
            </w:r>
            <w:r>
              <w:rPr>
                <w:rFonts w:hint="eastAsia" w:ascii="宋体" w:hAnsi="宋体" w:eastAsia="宋体" w:cs="宋体"/>
                <w:kern w:val="0"/>
                <w:sz w:val="18"/>
                <w:szCs w:val="18"/>
                <w:u w:val="none"/>
                <w:bdr w:val="none" w:color="auto" w:sz="0" w:space="0"/>
                <w:lang w:val="en-US" w:eastAsia="zh-CN" w:bidi="ar"/>
              </w:rPr>
              <w:fldChar w:fldCharType="begin"/>
            </w:r>
            <w:r>
              <w:rPr>
                <w:rFonts w:hint="eastAsia" w:ascii="宋体" w:hAnsi="宋体" w:eastAsia="宋体" w:cs="宋体"/>
                <w:kern w:val="0"/>
                <w:sz w:val="18"/>
                <w:szCs w:val="18"/>
                <w:u w:val="none"/>
                <w:bdr w:val="none" w:color="auto" w:sz="0" w:space="0"/>
                <w:lang w:val="en-US" w:eastAsia="zh-CN" w:bidi="ar"/>
              </w:rPr>
              <w:instrText xml:space="preserve"> HYPERLINK "https://grad.beihua.edu.cn/index/zxzx.htm" </w:instrText>
            </w:r>
            <w:r>
              <w:rPr>
                <w:rFonts w:hint="eastAsia" w:ascii="宋体" w:hAnsi="宋体" w:eastAsia="宋体" w:cs="宋体"/>
                <w:kern w:val="0"/>
                <w:sz w:val="18"/>
                <w:szCs w:val="18"/>
                <w:u w:val="none"/>
                <w:bdr w:val="none" w:color="auto" w:sz="0" w:space="0"/>
                <w:lang w:val="en-US" w:eastAsia="zh-CN" w:bidi="ar"/>
              </w:rPr>
              <w:fldChar w:fldCharType="separate"/>
            </w:r>
            <w:r>
              <w:rPr>
                <w:rStyle w:val="6"/>
                <w:rFonts w:hint="eastAsia" w:ascii="宋体" w:hAnsi="宋体" w:eastAsia="宋体" w:cs="宋体"/>
                <w:color w:val="222222"/>
                <w:sz w:val="18"/>
                <w:szCs w:val="18"/>
                <w:u w:val="none"/>
                <w:bdr w:val="none" w:color="auto" w:sz="0" w:space="0"/>
              </w:rPr>
              <w:t>最新资讯</w:t>
            </w:r>
            <w:r>
              <w:rPr>
                <w:rFonts w:hint="eastAsia" w:ascii="宋体" w:hAnsi="宋体" w:eastAsia="宋体" w:cs="宋体"/>
                <w:kern w:val="0"/>
                <w:sz w:val="18"/>
                <w:szCs w:val="18"/>
                <w:u w:val="none"/>
                <w:bdr w:val="none" w:color="auto" w:sz="0" w:space="0"/>
                <w:lang w:val="en-US" w:eastAsia="zh-CN" w:bidi="ar"/>
              </w:rPr>
              <w:fldChar w:fldCharType="end"/>
            </w:r>
            <w:r>
              <w:rPr>
                <w:rFonts w:hint="eastAsia" w:ascii="宋体" w:hAnsi="宋体" w:eastAsia="宋体" w:cs="宋体"/>
                <w:color w:val="222222"/>
                <w:kern w:val="0"/>
                <w:sz w:val="18"/>
                <w:szCs w:val="18"/>
                <w:bdr w:val="none" w:color="auto" w:sz="0" w:space="0"/>
                <w:lang w:val="en-US" w:eastAsia="zh-CN" w:bidi="ar"/>
              </w:rPr>
              <w:t>&gt;&gt;</w:t>
            </w:r>
            <w:r>
              <w:rPr>
                <w:rFonts w:hint="eastAsia" w:ascii="宋体" w:hAnsi="宋体" w:eastAsia="宋体" w:cs="宋体"/>
                <w:color w:val="222222"/>
                <w:kern w:val="0"/>
                <w:sz w:val="18"/>
                <w:szCs w:val="18"/>
                <w:u w:val="none"/>
                <w:bdr w:val="none" w:color="auto" w:sz="0" w:space="0"/>
                <w:lang w:val="en-US" w:eastAsia="zh-CN" w:bidi="ar"/>
              </w:rPr>
              <w:t>正文</w:t>
            </w:r>
          </w:p>
        </w:tc>
      </w:tr>
    </w:tbl>
    <w:p>
      <w:pPr>
        <w:pStyle w:val="7"/>
      </w:pPr>
      <w:r>
        <w:t>窗体顶端</w:t>
      </w:r>
    </w:p>
    <w:tbl>
      <w:tblPr>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b/>
                <w:bCs/>
                <w:sz w:val="24"/>
                <w:szCs w:val="24"/>
              </w:rPr>
            </w:pPr>
            <w:bookmarkStart w:id="0" w:name="_GoBack"/>
            <w:r>
              <w:rPr>
                <w:rFonts w:hint="eastAsia" w:ascii="宋体" w:hAnsi="宋体" w:eastAsia="宋体" w:cs="宋体"/>
                <w:b/>
                <w:bCs/>
                <w:kern w:val="0"/>
                <w:sz w:val="24"/>
                <w:szCs w:val="24"/>
                <w:bdr w:val="none" w:color="auto" w:sz="0" w:space="0"/>
                <w:lang w:val="en-US" w:eastAsia="zh-CN" w:bidi="ar"/>
              </w:rPr>
              <w:t>北华大学2023年调剂公告（三）</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00" w:hRule="atLeast"/>
          <w:tblCellSpacing w:w="0" w:type="dxa"/>
        </w:trPr>
        <w:tc>
          <w:tcPr>
            <w:tcW w:w="0" w:type="auto"/>
            <w:shd w:val="clear"/>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sz w:val="18"/>
                <w:szCs w:val="18"/>
              </w:rPr>
            </w:pPr>
            <w:r>
              <w:rPr>
                <w:rFonts w:hint="eastAsia" w:ascii="宋体" w:hAnsi="宋体" w:eastAsia="宋体" w:cs="宋体"/>
                <w:kern w:val="0"/>
                <w:sz w:val="18"/>
                <w:szCs w:val="18"/>
                <w:bdr w:val="none" w:color="auto" w:sz="0" w:space="0"/>
                <w:lang w:val="en-US" w:eastAsia="zh-CN" w:bidi="ar"/>
              </w:rPr>
              <w:t>2023-04-08 09:30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center"/>
          </w:tcPr>
          <w:p>
            <w:pPr>
              <w:jc w:val="right"/>
              <w:rPr>
                <w:rFonts w:hint="eastAsia" w:ascii="宋体" w:hAnsi="宋体" w:eastAsia="宋体" w:cs="宋体"/>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ascii="仿宋" w:hAnsi="仿宋" w:eastAsia="仿宋" w:cs="仿宋"/>
                <w:sz w:val="14"/>
                <w:szCs w:val="14"/>
                <w:bdr w:val="none" w:color="auto" w:sz="0" w:space="0"/>
                <w:shd w:val="clear" w:fill="FFFFFF"/>
              </w:rPr>
              <w:t>我校部分专业开通调剂，考生可登陆</w:t>
            </w:r>
            <w:r>
              <w:rPr>
                <w:rFonts w:hint="eastAsia" w:ascii="仿宋" w:hAnsi="仿宋" w:eastAsia="仿宋" w:cs="仿宋"/>
                <w:sz w:val="14"/>
                <w:szCs w:val="14"/>
                <w:bdr w:val="none" w:color="auto" w:sz="0" w:space="0"/>
                <w:shd w:val="clear" w:fill="FFFFFF"/>
              </w:rPr>
              <w:t>“调剂系统”并按要求填报调剂志愿。具体要求如下：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一、总体调剂报考要求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（一）调剂考生须符合《北华大学2023年硕士研究生招生章程》《北华大学2023年硕士研究生招生专业目录》和《北华大学2023年硕士研究生招生复试工作方案》相关要求。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（二）调剂考生的初试成绩须符合教育部“2023年全国硕士研究生招生考试考生进入复试的初试成绩基本要求（A类）”和我校确定的各学科专业进入复试比例。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二、各招生单位调剂专业、计划及要求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Style w:val="5"/>
                <w:rFonts w:hint="eastAsia" w:ascii="仿宋" w:hAnsi="仿宋" w:eastAsia="仿宋" w:cs="仿宋"/>
                <w:sz w:val="14"/>
                <w:szCs w:val="14"/>
                <w:bdr w:val="none" w:color="auto" w:sz="0" w:space="0"/>
                <w:shd w:val="clear" w:fill="FFFFFF"/>
              </w:rPr>
              <w:t>（一）基础医学院</w:t>
            </w:r>
          </w:p>
          <w:tbl>
            <w:tblPr>
              <w:tblW w:w="5550" w:type="dxa"/>
              <w:tblCellSpacing w:w="0" w:type="dxa"/>
              <w:tblInd w:w="-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520"/>
              <w:gridCol w:w="900"/>
              <w:gridCol w:w="640"/>
              <w:gridCol w:w="1610"/>
              <w:gridCol w:w="730"/>
              <w:gridCol w:w="590"/>
              <w:gridCol w:w="6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10" w:hRule="atLeast"/>
                <w:tblCellSpacing w:w="0" w:type="dxa"/>
              </w:trPr>
              <w:tc>
                <w:tcPr>
                  <w:tcW w:w="50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4"/>
                      <w:szCs w:val="14"/>
                      <w:bdr w:val="none" w:color="auto" w:sz="0" w:space="0"/>
                      <w:shd w:val="clear" w:fill="FFFFFF"/>
                    </w:rPr>
                    <w:t>院系所码</w:t>
                  </w:r>
                </w:p>
              </w:tc>
              <w:tc>
                <w:tcPr>
                  <w:tcW w:w="89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4"/>
                      <w:szCs w:val="14"/>
                      <w:bdr w:val="none" w:color="auto" w:sz="0" w:space="0"/>
                      <w:shd w:val="clear" w:fill="FFFFFF"/>
                    </w:rPr>
                    <w:t>院系所名称</w:t>
                  </w:r>
                </w:p>
              </w:tc>
              <w:tc>
                <w:tcPr>
                  <w:tcW w:w="63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4"/>
                      <w:szCs w:val="14"/>
                      <w:bdr w:val="none" w:color="auto" w:sz="0" w:space="0"/>
                      <w:shd w:val="clear" w:fill="FFFFFF"/>
                    </w:rPr>
                    <w:t>专业</w:t>
                  </w:r>
                  <w:r>
                    <w:rPr>
                      <w:rFonts w:hint="eastAsia" w:ascii="仿宋" w:hAnsi="仿宋" w:eastAsia="仿宋" w:cs="仿宋"/>
                      <w:sz w:val="14"/>
                      <w:szCs w:val="14"/>
                      <w:bdr w:val="none" w:color="auto" w:sz="0" w:space="0"/>
                      <w:shd w:val="clear" w:fill="FFFFFF"/>
                    </w:rPr>
                    <w:br w:type="textWrapping"/>
                  </w:r>
                  <w:r>
                    <w:rPr>
                      <w:rFonts w:hint="eastAsia" w:ascii="仿宋" w:hAnsi="仿宋" w:eastAsia="仿宋" w:cs="仿宋"/>
                      <w:sz w:val="14"/>
                      <w:szCs w:val="14"/>
                      <w:bdr w:val="none" w:color="auto" w:sz="0" w:space="0"/>
                      <w:shd w:val="clear" w:fill="FFFFFF"/>
                    </w:rPr>
                    <w:t>代码</w:t>
                  </w:r>
                </w:p>
              </w:tc>
              <w:tc>
                <w:tcPr>
                  <w:tcW w:w="160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4"/>
                      <w:szCs w:val="14"/>
                      <w:bdr w:val="none" w:color="auto" w:sz="0" w:space="0"/>
                      <w:shd w:val="clear" w:fill="FFFFFF"/>
                    </w:rPr>
                    <w:t>专业名称</w:t>
                  </w:r>
                </w:p>
              </w:tc>
              <w:tc>
                <w:tcPr>
                  <w:tcW w:w="72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4"/>
                      <w:szCs w:val="14"/>
                      <w:bdr w:val="none" w:color="auto" w:sz="0" w:space="0"/>
                      <w:shd w:val="clear" w:fill="FFFFFF"/>
                    </w:rPr>
                    <w:t>学习方式</w:t>
                  </w:r>
                </w:p>
              </w:tc>
              <w:tc>
                <w:tcPr>
                  <w:tcW w:w="58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4"/>
                      <w:szCs w:val="14"/>
                      <w:bdr w:val="none" w:color="auto" w:sz="0" w:space="0"/>
                      <w:shd w:val="clear" w:fill="FFFFFF"/>
                    </w:rPr>
                    <w:t>学位</w:t>
                  </w:r>
                  <w:r>
                    <w:rPr>
                      <w:rFonts w:hint="eastAsia" w:ascii="仿宋" w:hAnsi="仿宋" w:eastAsia="仿宋" w:cs="仿宋"/>
                      <w:sz w:val="14"/>
                      <w:szCs w:val="14"/>
                      <w:bdr w:val="none" w:color="auto" w:sz="0" w:space="0"/>
                      <w:shd w:val="clear" w:fill="FFFFFF"/>
                    </w:rPr>
                    <w:br w:type="textWrapping"/>
                  </w:r>
                  <w:r>
                    <w:rPr>
                      <w:rFonts w:hint="eastAsia" w:ascii="仿宋" w:hAnsi="仿宋" w:eastAsia="仿宋" w:cs="仿宋"/>
                      <w:sz w:val="14"/>
                      <w:szCs w:val="14"/>
                      <w:bdr w:val="none" w:color="auto" w:sz="0" w:space="0"/>
                      <w:shd w:val="clear" w:fill="FFFFFF"/>
                    </w:rPr>
                    <w:t>类型</w:t>
                  </w:r>
                </w:p>
              </w:tc>
              <w:tc>
                <w:tcPr>
                  <w:tcW w:w="64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4"/>
                      <w:szCs w:val="14"/>
                      <w:bdr w:val="none" w:color="auto" w:sz="0" w:space="0"/>
                      <w:shd w:val="clear" w:fill="FFFFFF"/>
                    </w:rPr>
                    <w:t>调剂</w:t>
                  </w:r>
                  <w:r>
                    <w:rPr>
                      <w:rFonts w:hint="eastAsia" w:ascii="仿宋" w:hAnsi="仿宋" w:eastAsia="仿宋" w:cs="仿宋"/>
                      <w:sz w:val="14"/>
                      <w:szCs w:val="14"/>
                      <w:bdr w:val="none" w:color="auto" w:sz="0" w:space="0"/>
                      <w:shd w:val="clear" w:fill="FFFFFF"/>
                    </w:rPr>
                    <w:br w:type="textWrapping"/>
                  </w:r>
                  <w:r>
                    <w:rPr>
                      <w:rFonts w:hint="eastAsia" w:ascii="仿宋" w:hAnsi="仿宋" w:eastAsia="仿宋" w:cs="仿宋"/>
                      <w:sz w:val="14"/>
                      <w:szCs w:val="14"/>
                      <w:bdr w:val="none" w:color="auto" w:sz="0" w:space="0"/>
                      <w:shd w:val="clear" w:fill="FFFFFF"/>
                    </w:rPr>
                    <w:t>名额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0" w:hRule="atLeast"/>
                <w:tblCellSpacing w:w="0" w:type="dxa"/>
              </w:trPr>
              <w:tc>
                <w:tcPr>
                  <w:tcW w:w="5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019</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基础医学院</w:t>
                  </w:r>
                </w:p>
              </w:tc>
              <w:tc>
                <w:tcPr>
                  <w:tcW w:w="630" w:type="dxa"/>
                  <w:tcBorders>
                    <w:top w:val="nil"/>
                    <w:left w:val="nil"/>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100101</w:t>
                  </w:r>
                </w:p>
              </w:tc>
              <w:tc>
                <w:tcPr>
                  <w:tcW w:w="1600" w:type="dxa"/>
                  <w:tcBorders>
                    <w:top w:val="nil"/>
                    <w:left w:val="nil"/>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人体解剖与组织胚胎学</w:t>
                  </w:r>
                </w:p>
              </w:tc>
              <w:tc>
                <w:tcPr>
                  <w:tcW w:w="720" w:type="dxa"/>
                  <w:tcBorders>
                    <w:top w:val="nil"/>
                    <w:left w:val="nil"/>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全日制</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学术型</w:t>
                  </w:r>
                </w:p>
              </w:tc>
              <w:tc>
                <w:tcPr>
                  <w:tcW w:w="640" w:type="dxa"/>
                  <w:tcBorders>
                    <w:top w:val="nil"/>
                    <w:left w:val="nil"/>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50" w:hRule="atLeast"/>
                <w:tblCellSpacing w:w="0" w:type="dxa"/>
              </w:trPr>
              <w:tc>
                <w:tcPr>
                  <w:tcW w:w="5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019</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基础医学院</w:t>
                  </w:r>
                </w:p>
              </w:tc>
              <w:tc>
                <w:tcPr>
                  <w:tcW w:w="630" w:type="dxa"/>
                  <w:tcBorders>
                    <w:top w:val="nil"/>
                    <w:left w:val="nil"/>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100102</w:t>
                  </w:r>
                </w:p>
              </w:tc>
              <w:tc>
                <w:tcPr>
                  <w:tcW w:w="1600" w:type="dxa"/>
                  <w:tcBorders>
                    <w:top w:val="nil"/>
                    <w:left w:val="nil"/>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免疫学</w:t>
                  </w:r>
                </w:p>
              </w:tc>
              <w:tc>
                <w:tcPr>
                  <w:tcW w:w="720" w:type="dxa"/>
                  <w:tcBorders>
                    <w:top w:val="nil"/>
                    <w:left w:val="nil"/>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全日制</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学术型</w:t>
                  </w:r>
                </w:p>
              </w:tc>
              <w:tc>
                <w:tcPr>
                  <w:tcW w:w="640" w:type="dxa"/>
                  <w:tcBorders>
                    <w:top w:val="nil"/>
                    <w:left w:val="nil"/>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trPr>
              <w:tc>
                <w:tcPr>
                  <w:tcW w:w="5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019</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基础医学院</w:t>
                  </w:r>
                </w:p>
              </w:tc>
              <w:tc>
                <w:tcPr>
                  <w:tcW w:w="630" w:type="dxa"/>
                  <w:tcBorders>
                    <w:top w:val="nil"/>
                    <w:left w:val="nil"/>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100103</w:t>
                  </w:r>
                </w:p>
              </w:tc>
              <w:tc>
                <w:tcPr>
                  <w:tcW w:w="1600" w:type="dxa"/>
                  <w:tcBorders>
                    <w:top w:val="nil"/>
                    <w:left w:val="nil"/>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病原生物学</w:t>
                  </w:r>
                </w:p>
              </w:tc>
              <w:tc>
                <w:tcPr>
                  <w:tcW w:w="720" w:type="dxa"/>
                  <w:tcBorders>
                    <w:top w:val="nil"/>
                    <w:left w:val="nil"/>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全日制</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学术型</w:t>
                  </w:r>
                </w:p>
              </w:tc>
              <w:tc>
                <w:tcPr>
                  <w:tcW w:w="640" w:type="dxa"/>
                  <w:tcBorders>
                    <w:top w:val="nil"/>
                    <w:left w:val="nil"/>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trPr>
              <w:tc>
                <w:tcPr>
                  <w:tcW w:w="5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019</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基础医学院</w:t>
                  </w:r>
                </w:p>
              </w:tc>
              <w:tc>
                <w:tcPr>
                  <w:tcW w:w="630" w:type="dxa"/>
                  <w:tcBorders>
                    <w:top w:val="nil"/>
                    <w:left w:val="nil"/>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100104</w:t>
                  </w:r>
                </w:p>
              </w:tc>
              <w:tc>
                <w:tcPr>
                  <w:tcW w:w="1600" w:type="dxa"/>
                  <w:tcBorders>
                    <w:top w:val="nil"/>
                    <w:left w:val="nil"/>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病理学与病理生理学</w:t>
                  </w:r>
                </w:p>
              </w:tc>
              <w:tc>
                <w:tcPr>
                  <w:tcW w:w="720" w:type="dxa"/>
                  <w:tcBorders>
                    <w:top w:val="nil"/>
                    <w:left w:val="nil"/>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全日制</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学术型</w:t>
                  </w:r>
                </w:p>
              </w:tc>
              <w:tc>
                <w:tcPr>
                  <w:tcW w:w="640" w:type="dxa"/>
                  <w:tcBorders>
                    <w:top w:val="nil"/>
                    <w:left w:val="nil"/>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trPr>
              <w:tc>
                <w:tcPr>
                  <w:tcW w:w="5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019</w:t>
                  </w:r>
                </w:p>
              </w:tc>
              <w:tc>
                <w:tcPr>
                  <w:tcW w:w="890" w:type="dxa"/>
                  <w:tcBorders>
                    <w:top w:val="nil"/>
                    <w:left w:val="nil"/>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基础医学院</w:t>
                  </w:r>
                </w:p>
              </w:tc>
              <w:tc>
                <w:tcPr>
                  <w:tcW w:w="630" w:type="dxa"/>
                  <w:tcBorders>
                    <w:top w:val="nil"/>
                    <w:left w:val="nil"/>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100105</w:t>
                  </w:r>
                </w:p>
              </w:tc>
              <w:tc>
                <w:tcPr>
                  <w:tcW w:w="1600" w:type="dxa"/>
                  <w:tcBorders>
                    <w:top w:val="nil"/>
                    <w:left w:val="nil"/>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法医学</w:t>
                  </w:r>
                </w:p>
              </w:tc>
              <w:tc>
                <w:tcPr>
                  <w:tcW w:w="720" w:type="dxa"/>
                  <w:tcBorders>
                    <w:top w:val="nil"/>
                    <w:left w:val="nil"/>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全日制</w:t>
                  </w:r>
                </w:p>
              </w:tc>
              <w:tc>
                <w:tcPr>
                  <w:tcW w:w="580" w:type="dxa"/>
                  <w:tcBorders>
                    <w:top w:val="nil"/>
                    <w:left w:val="nil"/>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学术型</w:t>
                  </w:r>
                </w:p>
              </w:tc>
              <w:tc>
                <w:tcPr>
                  <w:tcW w:w="640" w:type="dxa"/>
                  <w:tcBorders>
                    <w:top w:val="nil"/>
                    <w:left w:val="nil"/>
                    <w:bottom w:val="single" w:color="000000"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1</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1.调剂专业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2.调剂原则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（1）优先调剂基础医学（1001）下相同专业的考生；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（2）如仍有缺额，再调剂基础医学（1001）下，专业相近的考生（如病理学与病理生理学、免疫学、病原生物学、法医学以及人体解剖与组织胚胎学等）；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（3）如仍有缺额，再调剂医学（10）学科下，专业相近的考生（如临床医学、口腔医学、护理学、药学、公共卫生与预防医学、中医学、中西医结合等）；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（4）本科为生物学类专业考生仅可申请调剂免疫学、病原生物学、病理学与病理生理学专业；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（5）不接收同等学力考生；接收专升本、成人自考本科、继续教育本科学历考生。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（6）不接收非英语专业考生。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3.进入调剂比例200%。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0" w:lineRule="atLeast"/>
              <w:ind w:left="0" w:right="0" w:firstLine="280"/>
            </w:pPr>
            <w:r>
              <w:rPr>
                <w:rFonts w:hint="eastAsia" w:ascii="仿宋" w:hAnsi="仿宋" w:eastAsia="仿宋" w:cs="仿宋"/>
                <w:sz w:val="14"/>
                <w:szCs w:val="14"/>
                <w:bdr w:val="none" w:color="auto" w:sz="0" w:space="0"/>
                <w:shd w:val="clear" w:fill="FFFFFF"/>
              </w:rPr>
              <w:t>4.2023年4月8日12点-2023年4月9日12点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Style w:val="5"/>
                <w:rFonts w:hint="eastAsia" w:ascii="仿宋" w:hAnsi="仿宋" w:eastAsia="仿宋" w:cs="仿宋"/>
                <w:sz w:val="14"/>
                <w:szCs w:val="14"/>
                <w:bdr w:val="none" w:color="auto" w:sz="0" w:space="0"/>
                <w:shd w:val="clear" w:fill="FFFFFF"/>
              </w:rPr>
              <w:t>（二）临床医学院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1.调剂专业</w:t>
            </w:r>
          </w:p>
          <w:tbl>
            <w:tblPr>
              <w:tblW w:w="5620"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530"/>
              <w:gridCol w:w="1050"/>
              <w:gridCol w:w="740"/>
              <w:gridCol w:w="1280"/>
              <w:gridCol w:w="860"/>
              <w:gridCol w:w="660"/>
              <w:gridCol w:w="5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90" w:hRule="atLeast"/>
                <w:tblCellSpacing w:w="0" w:type="dxa"/>
                <w:jc w:val="center"/>
              </w:trPr>
              <w:tc>
                <w:tcPr>
                  <w:tcW w:w="51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院系所码</w:t>
                  </w:r>
                </w:p>
              </w:tc>
              <w:tc>
                <w:tcPr>
                  <w:tcW w:w="104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院系所名称</w:t>
                  </w:r>
                </w:p>
              </w:tc>
              <w:tc>
                <w:tcPr>
                  <w:tcW w:w="73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专业</w:t>
                  </w:r>
                  <w:r>
                    <w:rPr>
                      <w:rFonts w:hint="eastAsia" w:ascii="仿宋" w:hAnsi="仿宋" w:eastAsia="仿宋" w:cs="仿宋"/>
                      <w:spacing w:val="0"/>
                      <w:sz w:val="12"/>
                      <w:szCs w:val="12"/>
                      <w:bdr w:val="none" w:color="auto" w:sz="0" w:space="0"/>
                    </w:rPr>
                    <w:br w:type="textWrapping"/>
                  </w:r>
                  <w:r>
                    <w:rPr>
                      <w:rFonts w:hint="eastAsia" w:ascii="仿宋" w:hAnsi="仿宋" w:eastAsia="仿宋" w:cs="仿宋"/>
                      <w:spacing w:val="0"/>
                      <w:sz w:val="12"/>
                      <w:szCs w:val="12"/>
                      <w:bdr w:val="none" w:color="auto" w:sz="0" w:space="0"/>
                    </w:rPr>
                    <w:t>代码</w:t>
                  </w:r>
                </w:p>
              </w:tc>
              <w:tc>
                <w:tcPr>
                  <w:tcW w:w="127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专业名称</w:t>
                  </w:r>
                </w:p>
              </w:tc>
              <w:tc>
                <w:tcPr>
                  <w:tcW w:w="85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学习方式</w:t>
                  </w:r>
                </w:p>
              </w:tc>
              <w:tc>
                <w:tcPr>
                  <w:tcW w:w="65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学位</w:t>
                  </w:r>
                  <w:r>
                    <w:rPr>
                      <w:rFonts w:hint="eastAsia" w:ascii="仿宋" w:hAnsi="仿宋" w:eastAsia="仿宋" w:cs="仿宋"/>
                      <w:spacing w:val="0"/>
                      <w:sz w:val="12"/>
                      <w:szCs w:val="12"/>
                      <w:bdr w:val="none" w:color="auto" w:sz="0" w:space="0"/>
                    </w:rPr>
                    <w:br w:type="textWrapping"/>
                  </w:r>
                  <w:r>
                    <w:rPr>
                      <w:rFonts w:hint="eastAsia" w:ascii="仿宋" w:hAnsi="仿宋" w:eastAsia="仿宋" w:cs="仿宋"/>
                      <w:spacing w:val="0"/>
                      <w:sz w:val="12"/>
                      <w:szCs w:val="12"/>
                      <w:bdr w:val="none" w:color="auto" w:sz="0" w:space="0"/>
                    </w:rPr>
                    <w:t>类型</w:t>
                  </w:r>
                </w:p>
              </w:tc>
              <w:tc>
                <w:tcPr>
                  <w:tcW w:w="58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调剂</w:t>
                  </w:r>
                  <w:r>
                    <w:rPr>
                      <w:rFonts w:hint="eastAsia" w:ascii="仿宋" w:hAnsi="仿宋" w:eastAsia="仿宋" w:cs="仿宋"/>
                      <w:spacing w:val="0"/>
                      <w:sz w:val="12"/>
                      <w:szCs w:val="12"/>
                      <w:bdr w:val="none" w:color="auto" w:sz="0" w:space="0"/>
                    </w:rPr>
                    <w:br w:type="textWrapping"/>
                  </w:r>
                  <w:r>
                    <w:rPr>
                      <w:rFonts w:hint="eastAsia" w:ascii="仿宋" w:hAnsi="仿宋" w:eastAsia="仿宋" w:cs="仿宋"/>
                      <w:spacing w:val="0"/>
                      <w:sz w:val="12"/>
                      <w:szCs w:val="12"/>
                      <w:bdr w:val="none" w:color="auto" w:sz="0" w:space="0"/>
                    </w:rPr>
                    <w:t>名额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jc w:val="center"/>
              </w:trPr>
              <w:tc>
                <w:tcPr>
                  <w:tcW w:w="510" w:type="dxa"/>
                  <w:tcBorders>
                    <w:top w:val="single" w:color="auto" w:sz="4" w:space="0"/>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024</w:t>
                  </w:r>
                </w:p>
              </w:tc>
              <w:tc>
                <w:tcPr>
                  <w:tcW w:w="1040" w:type="dxa"/>
                  <w:tcBorders>
                    <w:top w:val="single" w:color="auto" w:sz="4" w:space="0"/>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临床医学院</w:t>
                  </w:r>
                </w:p>
              </w:tc>
              <w:tc>
                <w:tcPr>
                  <w:tcW w:w="730" w:type="dxa"/>
                  <w:tcBorders>
                    <w:top w:val="single" w:color="auto" w:sz="4" w:space="0"/>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100201</w:t>
                  </w:r>
                </w:p>
              </w:tc>
              <w:tc>
                <w:tcPr>
                  <w:tcW w:w="1270" w:type="dxa"/>
                  <w:tcBorders>
                    <w:top w:val="single" w:color="auto" w:sz="4" w:space="0"/>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内科学</w:t>
                  </w:r>
                </w:p>
              </w:tc>
              <w:tc>
                <w:tcPr>
                  <w:tcW w:w="850" w:type="dxa"/>
                  <w:tcBorders>
                    <w:top w:val="single" w:color="auto" w:sz="4" w:space="0"/>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全日制</w:t>
                  </w:r>
                </w:p>
              </w:tc>
              <w:tc>
                <w:tcPr>
                  <w:tcW w:w="650" w:type="dxa"/>
                  <w:tcBorders>
                    <w:top w:val="single" w:color="auto" w:sz="4" w:space="0"/>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学术型</w:t>
                  </w:r>
                </w:p>
              </w:tc>
              <w:tc>
                <w:tcPr>
                  <w:tcW w:w="580" w:type="dxa"/>
                  <w:tcBorders>
                    <w:top w:val="single" w:color="auto" w:sz="4" w:space="0"/>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jc w:val="center"/>
              </w:trPr>
              <w:tc>
                <w:tcPr>
                  <w:tcW w:w="51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024</w:t>
                  </w:r>
                </w:p>
              </w:tc>
              <w:tc>
                <w:tcPr>
                  <w:tcW w:w="104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临床医学院</w:t>
                  </w:r>
                </w:p>
              </w:tc>
              <w:tc>
                <w:tcPr>
                  <w:tcW w:w="73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105104</w:t>
                  </w:r>
                </w:p>
              </w:tc>
              <w:tc>
                <w:tcPr>
                  <w:tcW w:w="127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神经病学</w:t>
                  </w:r>
                </w:p>
              </w:tc>
              <w:tc>
                <w:tcPr>
                  <w:tcW w:w="85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全日制</w:t>
                  </w:r>
                </w:p>
              </w:tc>
              <w:tc>
                <w:tcPr>
                  <w:tcW w:w="65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专业型</w:t>
                  </w:r>
                </w:p>
              </w:tc>
              <w:tc>
                <w:tcPr>
                  <w:tcW w:w="58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0" w:hRule="atLeast"/>
                <w:tblCellSpacing w:w="0" w:type="dxa"/>
                <w:jc w:val="center"/>
              </w:trPr>
              <w:tc>
                <w:tcPr>
                  <w:tcW w:w="51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024</w:t>
                  </w:r>
                </w:p>
              </w:tc>
              <w:tc>
                <w:tcPr>
                  <w:tcW w:w="104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临床医学院</w:t>
                  </w:r>
                </w:p>
              </w:tc>
              <w:tc>
                <w:tcPr>
                  <w:tcW w:w="73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105106</w:t>
                  </w:r>
                </w:p>
              </w:tc>
              <w:tc>
                <w:tcPr>
                  <w:tcW w:w="127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皮肤病与性病学</w:t>
                  </w:r>
                </w:p>
              </w:tc>
              <w:tc>
                <w:tcPr>
                  <w:tcW w:w="85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全日制</w:t>
                  </w:r>
                </w:p>
              </w:tc>
              <w:tc>
                <w:tcPr>
                  <w:tcW w:w="65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专业型</w:t>
                  </w:r>
                </w:p>
              </w:tc>
              <w:tc>
                <w:tcPr>
                  <w:tcW w:w="58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jc w:val="center"/>
              </w:trPr>
              <w:tc>
                <w:tcPr>
                  <w:tcW w:w="51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024</w:t>
                  </w:r>
                </w:p>
              </w:tc>
              <w:tc>
                <w:tcPr>
                  <w:tcW w:w="104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临床医学院</w:t>
                  </w:r>
                </w:p>
              </w:tc>
              <w:tc>
                <w:tcPr>
                  <w:tcW w:w="73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105109</w:t>
                  </w:r>
                </w:p>
              </w:tc>
              <w:tc>
                <w:tcPr>
                  <w:tcW w:w="127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全科医学</w:t>
                  </w:r>
                </w:p>
              </w:tc>
              <w:tc>
                <w:tcPr>
                  <w:tcW w:w="85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全日制</w:t>
                  </w:r>
                </w:p>
              </w:tc>
              <w:tc>
                <w:tcPr>
                  <w:tcW w:w="65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专业型</w:t>
                  </w:r>
                </w:p>
              </w:tc>
              <w:tc>
                <w:tcPr>
                  <w:tcW w:w="58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jc w:val="center"/>
              </w:trPr>
              <w:tc>
                <w:tcPr>
                  <w:tcW w:w="51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024</w:t>
                  </w:r>
                </w:p>
              </w:tc>
              <w:tc>
                <w:tcPr>
                  <w:tcW w:w="104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临床医学院</w:t>
                  </w:r>
                </w:p>
              </w:tc>
              <w:tc>
                <w:tcPr>
                  <w:tcW w:w="73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105111</w:t>
                  </w:r>
                </w:p>
              </w:tc>
              <w:tc>
                <w:tcPr>
                  <w:tcW w:w="127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外科学</w:t>
                  </w:r>
                </w:p>
              </w:tc>
              <w:tc>
                <w:tcPr>
                  <w:tcW w:w="85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全日制</w:t>
                  </w:r>
                </w:p>
              </w:tc>
              <w:tc>
                <w:tcPr>
                  <w:tcW w:w="65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专业型</w:t>
                  </w:r>
                </w:p>
              </w:tc>
              <w:tc>
                <w:tcPr>
                  <w:tcW w:w="58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0" w:hRule="atLeast"/>
                <w:tblCellSpacing w:w="0" w:type="dxa"/>
                <w:jc w:val="center"/>
              </w:trPr>
              <w:tc>
                <w:tcPr>
                  <w:tcW w:w="51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024</w:t>
                  </w:r>
                </w:p>
              </w:tc>
              <w:tc>
                <w:tcPr>
                  <w:tcW w:w="104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临床医学院</w:t>
                  </w:r>
                </w:p>
              </w:tc>
              <w:tc>
                <w:tcPr>
                  <w:tcW w:w="73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105115</w:t>
                  </w:r>
                </w:p>
              </w:tc>
              <w:tc>
                <w:tcPr>
                  <w:tcW w:w="127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妇产科学</w:t>
                  </w:r>
                </w:p>
              </w:tc>
              <w:tc>
                <w:tcPr>
                  <w:tcW w:w="85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全日制</w:t>
                  </w:r>
                </w:p>
              </w:tc>
              <w:tc>
                <w:tcPr>
                  <w:tcW w:w="65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专业型</w:t>
                  </w:r>
                </w:p>
              </w:tc>
              <w:tc>
                <w:tcPr>
                  <w:tcW w:w="58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jc w:val="center"/>
              </w:trPr>
              <w:tc>
                <w:tcPr>
                  <w:tcW w:w="51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024</w:t>
                  </w:r>
                </w:p>
              </w:tc>
              <w:tc>
                <w:tcPr>
                  <w:tcW w:w="104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临床医学院</w:t>
                  </w:r>
                </w:p>
              </w:tc>
              <w:tc>
                <w:tcPr>
                  <w:tcW w:w="73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105119</w:t>
                  </w:r>
                </w:p>
              </w:tc>
              <w:tc>
                <w:tcPr>
                  <w:tcW w:w="127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临床病理</w:t>
                  </w:r>
                </w:p>
              </w:tc>
              <w:tc>
                <w:tcPr>
                  <w:tcW w:w="85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全日制</w:t>
                  </w:r>
                </w:p>
              </w:tc>
              <w:tc>
                <w:tcPr>
                  <w:tcW w:w="65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专业型</w:t>
                  </w:r>
                </w:p>
              </w:tc>
              <w:tc>
                <w:tcPr>
                  <w:tcW w:w="58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0" w:hRule="atLeast"/>
                <w:tblCellSpacing w:w="0" w:type="dxa"/>
                <w:jc w:val="center"/>
              </w:trPr>
              <w:tc>
                <w:tcPr>
                  <w:tcW w:w="510" w:type="dxa"/>
                  <w:tcBorders>
                    <w:top w:val="nil"/>
                    <w:left w:val="single" w:color="auto" w:sz="4" w:space="0"/>
                    <w:bottom w:val="single" w:color="auto" w:sz="4" w:space="0"/>
                    <w:right w:val="single" w:color="auto"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024</w:t>
                  </w:r>
                </w:p>
              </w:tc>
              <w:tc>
                <w:tcPr>
                  <w:tcW w:w="1040" w:type="dxa"/>
                  <w:tcBorders>
                    <w:top w:val="nil"/>
                    <w:left w:val="nil"/>
                    <w:bottom w:val="single" w:color="auto" w:sz="4" w:space="0"/>
                    <w:right w:val="single" w:color="auto"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临床医学院</w:t>
                  </w:r>
                </w:p>
              </w:tc>
              <w:tc>
                <w:tcPr>
                  <w:tcW w:w="730" w:type="dxa"/>
                  <w:tcBorders>
                    <w:top w:val="nil"/>
                    <w:left w:val="nil"/>
                    <w:bottom w:val="single" w:color="auto" w:sz="4" w:space="0"/>
                    <w:right w:val="single" w:color="auto"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105124</w:t>
                  </w:r>
                </w:p>
              </w:tc>
              <w:tc>
                <w:tcPr>
                  <w:tcW w:w="1270" w:type="dxa"/>
                  <w:tcBorders>
                    <w:top w:val="nil"/>
                    <w:left w:val="nil"/>
                    <w:bottom w:val="single" w:color="auto" w:sz="4" w:space="0"/>
                    <w:right w:val="single" w:color="auto"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超声医学</w:t>
                  </w:r>
                </w:p>
              </w:tc>
              <w:tc>
                <w:tcPr>
                  <w:tcW w:w="850" w:type="dxa"/>
                  <w:tcBorders>
                    <w:top w:val="nil"/>
                    <w:left w:val="nil"/>
                    <w:bottom w:val="single" w:color="auto" w:sz="4" w:space="0"/>
                    <w:right w:val="single" w:color="auto"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全日制</w:t>
                  </w:r>
                </w:p>
              </w:tc>
              <w:tc>
                <w:tcPr>
                  <w:tcW w:w="650" w:type="dxa"/>
                  <w:tcBorders>
                    <w:top w:val="nil"/>
                    <w:left w:val="nil"/>
                    <w:bottom w:val="single" w:color="auto" w:sz="4" w:space="0"/>
                    <w:right w:val="single" w:color="auto"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专业型</w:t>
                  </w:r>
                </w:p>
              </w:tc>
              <w:tc>
                <w:tcPr>
                  <w:tcW w:w="580" w:type="dxa"/>
                  <w:tcBorders>
                    <w:top w:val="nil"/>
                    <w:left w:val="nil"/>
                    <w:bottom w:val="single" w:color="auto" w:sz="4" w:space="0"/>
                    <w:right w:val="single" w:color="auto"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1</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2.调剂原则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280"/>
            </w:pPr>
            <w:r>
              <w:rPr>
                <w:rFonts w:hint="eastAsia" w:ascii="仿宋" w:hAnsi="仿宋" w:eastAsia="仿宋" w:cs="仿宋"/>
                <w:sz w:val="14"/>
                <w:szCs w:val="14"/>
                <w:bdr w:val="none" w:color="auto" w:sz="0" w:space="0"/>
                <w:shd w:val="clear" w:fill="FFFFFF"/>
              </w:rPr>
              <w:t>105123放射影像学领域、105124超声医学领域只招收普通高等学校全日制医学影像学专业或临床医学专业本科毕业生，其他领域只招收普通高等学校全日制临床医学专业本科毕业生。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280"/>
            </w:pPr>
            <w:r>
              <w:rPr>
                <w:rFonts w:hint="eastAsia" w:ascii="仿宋" w:hAnsi="仿宋" w:eastAsia="仿宋" w:cs="仿宋"/>
                <w:sz w:val="14"/>
                <w:szCs w:val="14"/>
                <w:bdr w:val="none" w:color="auto" w:sz="0" w:space="0"/>
                <w:shd w:val="clear" w:fill="FFFFFF"/>
              </w:rPr>
              <w:t>3.进入调剂比例：200%。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280"/>
            </w:pPr>
            <w:r>
              <w:rPr>
                <w:rFonts w:hint="eastAsia" w:ascii="仿宋" w:hAnsi="仿宋" w:eastAsia="仿宋" w:cs="仿宋"/>
                <w:sz w:val="14"/>
                <w:szCs w:val="14"/>
                <w:bdr w:val="none" w:color="auto" w:sz="0" w:space="0"/>
                <w:shd w:val="clear" w:fill="FFFFFF"/>
              </w:rPr>
              <w:t>4.调剂系统开放及关闭时间：4月10日0：00-4月10日12：00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三、友情提示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（一）考生要认真阅读《北华大学2023年硕士研究生招生专业目录》有关报考要求，是否符合相关学科专业报考要求和条件，避免出现与报考要求不符情况发生。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（二）考生要仔细阅读我校调剂条件、调剂原则、调剂流程和各学科专业调剂特别要求，以及志愿锁定时间，一旦成功填报志愿，将被锁定，不可提前解锁，请考生慎重选择。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（三）调剂系统再次开通时间以网站公告为准。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（四）复试通知通过“调剂系统”向考生发送信息。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（五）我校将根据调剂生源情况适度调整各学科专业招生计划。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（六）我校其他学科专业调剂公告将根据录取实际情况，陆续发布。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欢迎广大考生选择调剂北华大学！</w:t>
            </w:r>
          </w:p>
        </w:tc>
      </w:tr>
    </w:tbl>
    <w:p>
      <w:pPr>
        <w:pStyle w:val="8"/>
      </w:pPr>
      <w:r>
        <w:t>窗体底端</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auto"/>
    <w:pitch w:val="default"/>
    <w:sig w:usb0="E0002EFF" w:usb1="C000785B"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5F0B58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
    <w:lsdException w:unhideWhenUsed="0" w:uiPriority="0" w:semiHidden="0" w:nam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 w:type="paragraph" w:styleId="7">
    <w:name w:val=""/>
    <w:basedOn w:val="1"/>
    <w:next w:val="1"/>
    <w:uiPriority w:val="0"/>
    <w:pPr>
      <w:pBdr>
        <w:bottom w:val="single" w:color="auto" w:sz="6" w:space="1"/>
      </w:pBdr>
      <w:jc w:val="center"/>
    </w:pPr>
    <w:rPr>
      <w:rFonts w:ascii="Arial" w:eastAsia="宋体"/>
      <w:vanish/>
      <w:sz w:val="16"/>
    </w:rPr>
  </w:style>
  <w:style w:type="paragraph" w:styleId="8">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2023-06-02T06:02:00Z</dcterms:created>
  <dc:creator>Administrator</dc:creator>
  <cp:lastModifiedBy>王英</cp:lastModifiedBy>
  <dcterms:modified xsi:type="dcterms:W3CDTF">2023-06-02T06:02:16Z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D072F322B2EC489BAFAADD9EF1832652</vt:lpwstr>
  </property>
</Properties>
</file>