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幼圆" w:hAnsi="幼圆" w:eastAsia="幼圆" w:cs="幼圆"/>
          <w:b/>
          <w:bCs/>
          <w:color w:val="004A9D"/>
          <w:sz w:val="20"/>
          <w:szCs w:val="20"/>
        </w:rPr>
      </w:pP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noWrap/>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color w:val="222222"/>
                <w:sz w:val="18"/>
                <w:szCs w:val="18"/>
              </w:rPr>
            </w:pPr>
            <w:r>
              <w:rPr>
                <w:rFonts w:hint="eastAsia" w:ascii="宋体" w:hAnsi="宋体" w:eastAsia="宋体" w:cs="宋体"/>
                <w:color w:val="222222"/>
                <w:kern w:val="0"/>
                <w:sz w:val="18"/>
                <w:szCs w:val="18"/>
                <w:bdr w:val="none" w:color="auto" w:sz="0" w:space="0"/>
                <w:lang w:val="en-US" w:eastAsia="zh-CN" w:bidi="ar"/>
              </w:rPr>
              <w:t>当前位置： </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首页</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kern w:val="0"/>
                <w:sz w:val="18"/>
                <w:szCs w:val="18"/>
                <w:u w:val="none"/>
                <w:bdr w:val="none" w:color="auto" w:sz="0" w:space="0"/>
                <w:lang w:val="en-US" w:eastAsia="zh-CN" w:bidi="ar"/>
              </w:rPr>
              <w:fldChar w:fldCharType="begin"/>
            </w:r>
            <w:r>
              <w:rPr>
                <w:rFonts w:hint="eastAsia" w:ascii="宋体" w:hAnsi="宋体" w:eastAsia="宋体" w:cs="宋体"/>
                <w:kern w:val="0"/>
                <w:sz w:val="18"/>
                <w:szCs w:val="18"/>
                <w:u w:val="none"/>
                <w:bdr w:val="none" w:color="auto" w:sz="0" w:space="0"/>
                <w:lang w:val="en-US" w:eastAsia="zh-CN" w:bidi="ar"/>
              </w:rPr>
              <w:instrText xml:space="preserve"> HYPERLINK "https://grad.beihua.edu.cn/index/zxzx.htm" </w:instrText>
            </w:r>
            <w:r>
              <w:rPr>
                <w:rFonts w:hint="eastAsia" w:ascii="宋体" w:hAnsi="宋体" w:eastAsia="宋体" w:cs="宋体"/>
                <w:kern w:val="0"/>
                <w:sz w:val="18"/>
                <w:szCs w:val="18"/>
                <w:u w:val="none"/>
                <w:bdr w:val="none" w:color="auto" w:sz="0" w:space="0"/>
                <w:lang w:val="en-US" w:eastAsia="zh-CN" w:bidi="ar"/>
              </w:rPr>
              <w:fldChar w:fldCharType="separate"/>
            </w:r>
            <w:r>
              <w:rPr>
                <w:rStyle w:val="6"/>
                <w:rFonts w:hint="eastAsia" w:ascii="宋体" w:hAnsi="宋体" w:eastAsia="宋体" w:cs="宋体"/>
                <w:color w:val="222222"/>
                <w:sz w:val="18"/>
                <w:szCs w:val="18"/>
                <w:u w:val="none"/>
                <w:bdr w:val="none" w:color="auto" w:sz="0" w:space="0"/>
              </w:rPr>
              <w:t>最新资讯</w:t>
            </w:r>
            <w:r>
              <w:rPr>
                <w:rFonts w:hint="eastAsia" w:ascii="宋体" w:hAnsi="宋体" w:eastAsia="宋体" w:cs="宋体"/>
                <w:kern w:val="0"/>
                <w:sz w:val="18"/>
                <w:szCs w:val="18"/>
                <w:u w:val="none"/>
                <w:bdr w:val="none" w:color="auto" w:sz="0" w:space="0"/>
                <w:lang w:val="en-US" w:eastAsia="zh-CN" w:bidi="ar"/>
              </w:rPr>
              <w:fldChar w:fldCharType="end"/>
            </w:r>
            <w:r>
              <w:rPr>
                <w:rFonts w:hint="eastAsia" w:ascii="宋体" w:hAnsi="宋体" w:eastAsia="宋体" w:cs="宋体"/>
                <w:color w:val="222222"/>
                <w:kern w:val="0"/>
                <w:sz w:val="18"/>
                <w:szCs w:val="18"/>
                <w:bdr w:val="none" w:color="auto" w:sz="0" w:space="0"/>
                <w:lang w:val="en-US" w:eastAsia="zh-CN" w:bidi="ar"/>
              </w:rPr>
              <w:t>&gt;&gt;</w:t>
            </w:r>
            <w:r>
              <w:rPr>
                <w:rFonts w:hint="eastAsia" w:ascii="宋体" w:hAnsi="宋体" w:eastAsia="宋体" w:cs="宋体"/>
                <w:color w:val="222222"/>
                <w:kern w:val="0"/>
                <w:sz w:val="18"/>
                <w:szCs w:val="18"/>
                <w:u w:val="none"/>
                <w:bdr w:val="none" w:color="auto" w:sz="0" w:space="0"/>
                <w:lang w:val="en-US" w:eastAsia="zh-CN" w:bidi="ar"/>
              </w:rPr>
              <w:t>正文</w:t>
            </w:r>
          </w:p>
        </w:tc>
      </w:tr>
    </w:tbl>
    <w:p>
      <w:pPr>
        <w:pStyle w:val="7"/>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sz w:val="24"/>
                <w:szCs w:val="24"/>
              </w:rPr>
            </w:pPr>
            <w:bookmarkStart w:id="0" w:name="_GoBack"/>
            <w:r>
              <w:rPr>
                <w:rFonts w:hint="eastAsia" w:ascii="宋体" w:hAnsi="宋体" w:eastAsia="宋体" w:cs="宋体"/>
                <w:b/>
                <w:bCs/>
                <w:kern w:val="0"/>
                <w:sz w:val="24"/>
                <w:szCs w:val="24"/>
                <w:bdr w:val="none" w:color="auto" w:sz="0" w:space="0"/>
                <w:lang w:val="en-US" w:eastAsia="zh-CN" w:bidi="ar"/>
              </w:rPr>
              <w:t>北华大学2023年调剂公告（九）</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sz w:val="18"/>
                <w:szCs w:val="18"/>
              </w:rPr>
            </w:pPr>
            <w:r>
              <w:rPr>
                <w:rFonts w:hint="eastAsia" w:ascii="宋体" w:hAnsi="宋体" w:eastAsia="宋体" w:cs="宋体"/>
                <w:kern w:val="0"/>
                <w:sz w:val="18"/>
                <w:szCs w:val="18"/>
                <w:bdr w:val="none" w:color="auto" w:sz="0" w:space="0"/>
                <w:lang w:val="en-US" w:eastAsia="zh-CN" w:bidi="ar"/>
              </w:rPr>
              <w:t>2023-04-15 11:01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ascii="仿宋" w:hAnsi="仿宋" w:eastAsia="仿宋" w:cs="仿宋"/>
                <w:sz w:val="14"/>
                <w:szCs w:val="14"/>
                <w:bdr w:val="none" w:color="auto" w:sz="0" w:space="0"/>
                <w:shd w:val="clear" w:fill="FFFFFF"/>
              </w:rPr>
              <w:t>我校部分专业开通调剂，考生可登陆</w:t>
            </w:r>
            <w:r>
              <w:rPr>
                <w:rFonts w:hint="eastAsia" w:ascii="仿宋" w:hAnsi="仿宋" w:eastAsia="仿宋" w:cs="仿宋"/>
                <w:sz w:val="14"/>
                <w:szCs w:val="14"/>
                <w:bdr w:val="none" w:color="auto" w:sz="0" w:space="0"/>
                <w:shd w:val="clear" w:fill="FFFFFF"/>
              </w:rPr>
              <w:t>“调剂系统”并按要求填报调剂志愿。具体要求如下：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一、总体调剂报考要求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（一）调剂考生须符合《北华大学2023年硕士研究生招生章程》《北华大学2023年硕士研究生招生专业目录》和《北华大学2023年硕士研究生招生复试工作方案》相关要求。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（二）调剂考生的初试成绩须符合教育部“2023年全国硕士研究生招生考试考生进入复试的初试成绩基本要求（A类）”和我校确定的各学科专业进入复试比例。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二、各招生单位调剂专业、计划及要求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（一）教育科学学院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71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00"/>
              <w:gridCol w:w="1160"/>
              <w:gridCol w:w="630"/>
              <w:gridCol w:w="1600"/>
              <w:gridCol w:w="740"/>
              <w:gridCol w:w="600"/>
              <w:gridCol w:w="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院系所码</w:t>
                  </w:r>
                </w:p>
              </w:tc>
              <w:tc>
                <w:tcPr>
                  <w:tcW w:w="11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院系所名称</w:t>
                  </w:r>
                </w:p>
              </w:tc>
              <w:tc>
                <w:tcPr>
                  <w:tcW w:w="6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代码</w:t>
                  </w:r>
                </w:p>
              </w:tc>
              <w:tc>
                <w:tcPr>
                  <w:tcW w:w="1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专业名称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学习方式</w:t>
                  </w:r>
                </w:p>
              </w:tc>
              <w:tc>
                <w:tcPr>
                  <w:tcW w:w="5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学位</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类型</w:t>
                  </w:r>
                </w:p>
              </w:tc>
              <w:tc>
                <w:tcPr>
                  <w:tcW w:w="5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shd w:val="clear" w:fill="FFFFFF"/>
                    </w:rPr>
                    <w:t>调剂</w:t>
                  </w:r>
                  <w:r>
                    <w:rPr>
                      <w:rFonts w:hint="eastAsia" w:ascii="仿宋" w:hAnsi="仿宋" w:eastAsia="仿宋" w:cs="仿宋"/>
                      <w:sz w:val="14"/>
                      <w:szCs w:val="14"/>
                      <w:bdr w:val="none" w:color="auto" w:sz="0" w:space="0"/>
                      <w:shd w:val="clear" w:fill="FFFFFF"/>
                    </w:rPr>
                    <w:br w:type="textWrapping"/>
                  </w:r>
                  <w:r>
                    <w:rPr>
                      <w:rFonts w:hint="eastAsia" w:ascii="仿宋" w:hAnsi="仿宋" w:eastAsia="仿宋" w:cs="仿宋"/>
                      <w:sz w:val="14"/>
                      <w:szCs w:val="14"/>
                      <w:bdr w:val="none" w:color="auto" w:sz="0" w:space="0"/>
                      <w:shd w:val="clear" w:fill="FFFFFF"/>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trPr>
              <w:tc>
                <w:tcPr>
                  <w:tcW w:w="480" w:type="dxa"/>
                  <w:tcBorders>
                    <w:top w:val="single" w:color="auto" w:sz="4" w:space="0"/>
                    <w:left w:val="single" w:color="000000" w:sz="4" w:space="0"/>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045116</w:t>
                  </w:r>
                </w:p>
              </w:tc>
              <w:tc>
                <w:tcPr>
                  <w:tcW w:w="159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心理健康教育</w:t>
                  </w:r>
                </w:p>
              </w:tc>
              <w:tc>
                <w:tcPr>
                  <w:tcW w:w="73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550" w:type="dxa"/>
                  <w:tcBorders>
                    <w:top w:val="single" w:color="auto" w:sz="4" w:space="0"/>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trPr>
              <w:tc>
                <w:tcPr>
                  <w:tcW w:w="480" w:type="dxa"/>
                  <w:tcBorders>
                    <w:top w:val="nil"/>
                    <w:left w:val="single" w:color="000000" w:sz="4" w:space="0"/>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002</w:t>
                  </w:r>
                </w:p>
              </w:tc>
              <w:tc>
                <w:tcPr>
                  <w:tcW w:w="11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教育科学学院</w:t>
                  </w:r>
                </w:p>
              </w:tc>
              <w:tc>
                <w:tcPr>
                  <w:tcW w:w="62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045118</w:t>
                  </w:r>
                </w:p>
              </w:tc>
              <w:tc>
                <w:tcPr>
                  <w:tcW w:w="1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学前教育</w:t>
                  </w:r>
                </w:p>
              </w:tc>
              <w:tc>
                <w:tcPr>
                  <w:tcW w:w="73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全日制</w:t>
                  </w:r>
                </w:p>
              </w:tc>
              <w:tc>
                <w:tcPr>
                  <w:tcW w:w="59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专业型</w:t>
                  </w:r>
                </w:p>
              </w:tc>
              <w:tc>
                <w:tcPr>
                  <w:tcW w:w="550" w:type="dxa"/>
                  <w:tcBorders>
                    <w:top w:val="nil"/>
                    <w:left w:val="nil"/>
                    <w:bottom w:val="single" w:color="auto" w:sz="4" w:space="0"/>
                    <w:right w:val="single" w:color="000000"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仿宋" w:hAnsi="仿宋" w:eastAsia="仿宋" w:cs="仿宋"/>
                      <w:sz w:val="14"/>
                      <w:szCs w:val="14"/>
                      <w:bdr w:val="none" w:color="auto" w:sz="0" w:space="0"/>
                      <w:shd w:val="clear" w:fill="FFFFFF"/>
                    </w:rPr>
                    <w:t>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（1）心理健康教育接收心理学类或医学类全日制本科毕业生调剂。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（2）学前教育接收全日制本科毕业生调剂。优先调剂报考专业相同且本科为学前教育专业的考生。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4.调剂系统开放及关闭时间：4月15日12：00-4月16日8：00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Style w:val="5"/>
                <w:rFonts w:hint="eastAsia" w:ascii="仿宋" w:hAnsi="仿宋" w:eastAsia="仿宋" w:cs="仿宋"/>
                <w:sz w:val="14"/>
                <w:szCs w:val="14"/>
                <w:bdr w:val="none" w:color="auto" w:sz="0" w:space="0"/>
                <w:shd w:val="clear" w:fill="FFFFFF"/>
              </w:rPr>
              <w:t>（二）临床医学院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1.调剂专业</w:t>
            </w:r>
          </w:p>
          <w:tbl>
            <w:tblPr>
              <w:tblW w:w="56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0"/>
              <w:gridCol w:w="1050"/>
              <w:gridCol w:w="740"/>
              <w:gridCol w:w="1280"/>
              <w:gridCol w:w="860"/>
              <w:gridCol w:w="660"/>
              <w:gridCol w:w="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jc w:val="center"/>
              </w:trPr>
              <w:tc>
                <w:tcPr>
                  <w:tcW w:w="5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院系所码</w:t>
                  </w:r>
                </w:p>
              </w:tc>
              <w:tc>
                <w:tcPr>
                  <w:tcW w:w="10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院系所名称</w:t>
                  </w:r>
                </w:p>
              </w:tc>
              <w:tc>
                <w:tcPr>
                  <w:tcW w:w="7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代码</w:t>
                  </w:r>
                </w:p>
              </w:tc>
              <w:tc>
                <w:tcPr>
                  <w:tcW w:w="12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专业名称</w:t>
                  </w:r>
                </w:p>
              </w:tc>
              <w:tc>
                <w:tcPr>
                  <w:tcW w:w="8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学习方式</w:t>
                  </w:r>
                </w:p>
              </w:tc>
              <w:tc>
                <w:tcPr>
                  <w:tcW w:w="6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学位</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类型</w:t>
                  </w:r>
                </w:p>
              </w:tc>
              <w:tc>
                <w:tcPr>
                  <w:tcW w:w="5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pacing w:val="0"/>
                      <w:sz w:val="12"/>
                      <w:szCs w:val="12"/>
                      <w:bdr w:val="none" w:color="auto" w:sz="0" w:space="0"/>
                    </w:rPr>
                    <w:t>调剂</w:t>
                  </w:r>
                  <w:r>
                    <w:rPr>
                      <w:rFonts w:hint="eastAsia" w:ascii="仿宋" w:hAnsi="仿宋" w:eastAsia="仿宋" w:cs="仿宋"/>
                      <w:spacing w:val="0"/>
                      <w:sz w:val="12"/>
                      <w:szCs w:val="12"/>
                      <w:bdr w:val="none" w:color="auto" w:sz="0" w:space="0"/>
                    </w:rPr>
                    <w:br w:type="textWrapping"/>
                  </w:r>
                  <w:r>
                    <w:rPr>
                      <w:rFonts w:hint="eastAsia" w:ascii="仿宋" w:hAnsi="仿宋" w:eastAsia="仿宋" w:cs="仿宋"/>
                      <w:spacing w:val="0"/>
                      <w:sz w:val="12"/>
                      <w:szCs w:val="12"/>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100201</w:t>
                  </w:r>
                </w:p>
              </w:tc>
              <w:tc>
                <w:tcPr>
                  <w:tcW w:w="127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内科学</w:t>
                  </w:r>
                </w:p>
              </w:tc>
              <w:tc>
                <w:tcPr>
                  <w:tcW w:w="8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学术型</w:t>
                  </w:r>
                </w:p>
              </w:tc>
              <w:tc>
                <w:tcPr>
                  <w:tcW w:w="58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105104</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神经病学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105111</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外科学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105115</w:t>
                  </w:r>
                </w:p>
              </w:tc>
              <w:tc>
                <w:tcPr>
                  <w:tcW w:w="12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妇产科学</w:t>
                  </w:r>
                </w:p>
              </w:tc>
              <w:tc>
                <w:tcPr>
                  <w:tcW w:w="8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105124</w:t>
                  </w:r>
                </w:p>
              </w:tc>
              <w:tc>
                <w:tcPr>
                  <w:tcW w:w="127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超声医学</w:t>
                  </w:r>
                </w:p>
              </w:tc>
              <w:tc>
                <w:tcPr>
                  <w:tcW w:w="8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510" w:type="dxa"/>
                  <w:tcBorders>
                    <w:top w:val="nil"/>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024</w:t>
                  </w:r>
                </w:p>
              </w:tc>
              <w:tc>
                <w:tcPr>
                  <w:tcW w:w="104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临床医学院</w:t>
                  </w:r>
                </w:p>
              </w:tc>
              <w:tc>
                <w:tcPr>
                  <w:tcW w:w="73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105109</w:t>
                  </w:r>
                </w:p>
              </w:tc>
              <w:tc>
                <w:tcPr>
                  <w:tcW w:w="127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全科医学</w:t>
                  </w:r>
                </w:p>
              </w:tc>
              <w:tc>
                <w:tcPr>
                  <w:tcW w:w="8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全日制</w:t>
                  </w:r>
                </w:p>
              </w:tc>
              <w:tc>
                <w:tcPr>
                  <w:tcW w:w="65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专业型</w:t>
                  </w:r>
                </w:p>
              </w:tc>
              <w:tc>
                <w:tcPr>
                  <w:tcW w:w="58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pacing w:val="0"/>
                      <w:sz w:val="12"/>
                      <w:szCs w:val="12"/>
                      <w:bdr w:val="none" w:color="auto" w:sz="0" w:space="0"/>
                    </w:rPr>
                    <w:t>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2.调剂原则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105124超声医学领域只招收普通高等学校全日制医学影像学专业或临床医学专业本科毕业生，其他领域只招收普通高等学校全日制临床医学专业本科毕业生。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3.进入调剂比例：200%。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4.调剂系统开放及关闭时间：4月15日12：00-4月16日6：00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280" w:right="0" w:firstLine="0"/>
            </w:pPr>
            <w:r>
              <w:rPr>
                <w:rFonts w:hint="eastAsia" w:ascii="仿宋" w:hAnsi="仿宋" w:eastAsia="仿宋" w:cs="仿宋"/>
                <w:sz w:val="14"/>
                <w:szCs w:val="14"/>
                <w:bdr w:val="none" w:color="auto" w:sz="0" w:space="0"/>
                <w:shd w:val="clear" w:fill="FFFFFF"/>
              </w:rPr>
              <w:t>三、友情提示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（一）考生要认真阅读《北华大学2023年硕士研究生招生专业目录》有关报考要求，是否符合相关学科专业报考要求和条件，避免出现与报考要求不符情况发生。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（二）考生要仔细阅读我校调剂条件、调剂原则、调剂流程和各学科专业调剂特别要求，以及志愿锁定时间，一旦成功填报志愿，将被锁定，不可提前解锁，请考生慎重选择。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（三）调剂系统再次开通时间以网站公告为准。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（四）复试通知通过“调剂系统”向考生发送信息。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（五）我校将根据调剂生源情况适度调整各学科专业招生计划。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（六）我校其他学科专业调剂公告将根据录取实际情况，陆续发布。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280"/>
            </w:pPr>
            <w:r>
              <w:rPr>
                <w:rFonts w:hint="eastAsia" w:ascii="仿宋" w:hAnsi="仿宋" w:eastAsia="仿宋" w:cs="仿宋"/>
                <w:sz w:val="14"/>
                <w:szCs w:val="14"/>
                <w:bdr w:val="none" w:color="auto" w:sz="0" w:space="0"/>
                <w:shd w:val="clear" w:fill="FFFFFF"/>
              </w:rPr>
              <w:t>欢迎广大考生选择调剂北华大学！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p>
        </w:tc>
      </w:tr>
    </w:tbl>
    <w:p>
      <w:pPr>
        <w:pStyle w:val="8"/>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DAA5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2023-06-02T06:04:36Z</dcterms:created>
  <dc:creator>Administrator</dc:creator>
  <cp:lastModifiedBy>王英</cp:lastModifiedBy>
  <dcterms:modified xsi:type="dcterms:W3CDTF">2023-06-02T06:04:46Z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BA27239DF4B04122B013185EBD85F462</vt:lpwstr>
  </property>
</Properties>
</file>