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021A6"/>
          <w:spacing w:val="0"/>
          <w:sz w:val="30"/>
          <w:szCs w:val="30"/>
          <w:bdr w:val="none" w:color="auto" w:sz="0" w:space="0"/>
        </w:rPr>
        <w:t>2023年法学硕士研究生招生考试复试调剂（第二批）考生名单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时间：2023-04-18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阅读次数：539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90" w:lineRule="atLeast"/>
        <w:ind w:left="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6286500" cy="57626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7948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53</Characters>
  <Lines>0</Lines>
  <Paragraphs>0</Paragraphs>
  <TotalTime>0</TotalTime>
  <ScaleCrop>false</ScaleCrop>
  <LinksUpToDate>false</LinksUpToDate>
  <CharactersWithSpaces>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2023-05-13T02:27:32Z</dcterms:created>
  <dc:creator>Administrator</dc:creator>
  <cp:lastModifiedBy>陈桉</cp:lastModifiedBy>
  <dcterms:modified xsi:type="dcterms:W3CDTF">2023-05-13T02:27:42Z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297C2A7001734F96A2627D123279330E_12</vt:lpwstr>
  </property>
</Properties>
</file>