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bdr w:val="none" w:color="auto" w:sz="0" w:space="0"/>
        </w:rPr>
        <w:t>华侨大学土木工程学院2023年硕士研究生调剂系统开放及复试通知</w:t>
      </w:r>
    </w:p>
    <w:p>
      <w:pPr>
        <w:keepNext w:val="0"/>
        <w:keepLines w:val="0"/>
        <w:widowControl/>
        <w:suppressLineNumbers w:val="0"/>
        <w:pBdr>
          <w:bottom w:val="dashed" w:color="D2D2D2" w:sz="4" w:space="5"/>
        </w:pBdr>
        <w:spacing w:line="280" w:lineRule="atLeast"/>
        <w:jc w:val="center"/>
        <w:rPr>
          <w:color w:val="696969"/>
          <w:sz w:val="14"/>
          <w:szCs w:val="14"/>
        </w:rPr>
      </w:pPr>
      <w:r>
        <w:rPr>
          <w:rFonts w:ascii="宋体" w:hAnsi="宋体" w:eastAsia="宋体" w:cs="宋体"/>
          <w:color w:val="696969"/>
          <w:kern w:val="0"/>
          <w:sz w:val="14"/>
          <w:szCs w:val="14"/>
          <w:lang w:val="en-US" w:eastAsia="zh-CN" w:bidi="ar"/>
        </w:rPr>
        <w:t>发布日期：2023-04-04点击：[5148]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0"/>
      </w:pPr>
      <w:r>
        <w:rPr>
          <w:rFonts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华侨大学</w:t>
      </w:r>
      <w:r>
        <w:rPr>
          <w:rFonts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土木工程学院</w:t>
      </w: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2023年硕士研究生调剂系统将于2023年4月6日上午00:00开放，2023年4月6日下午14:00关闭。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10"/>
      </w:pPr>
      <w:r>
        <w:rPr>
          <w:rFonts w:hint="default" w:ascii="仿宋_gb2312" w:hAnsi="仿宋_gb2312" w:eastAsia="仿宋_gb2312" w:cs="仿宋_gb2312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请全体考生</w:t>
      </w: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在调剂申请前务必仔细阅读学院复试细则中的条件与要求，提前准备好相关资格审查材料，并</w:t>
      </w:r>
      <w:r>
        <w:rPr>
          <w:rFonts w:hint="default" w:ascii="仿宋_gb2312" w:hAnsi="仿宋_gb2312" w:eastAsia="仿宋_gb2312" w:cs="仿宋_gb2312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通过“全国硕士研究生招生调剂服务系统”填报调剂志愿，未通过该系统提交的调剂申请，一律无效。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一、接受调剂的专业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0"/>
        <w:gridCol w:w="1110"/>
        <w:gridCol w:w="2040"/>
        <w:gridCol w:w="11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研究方向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bdr w:val="none" w:color="auto" w:sz="0" w:space="0"/>
              </w:rPr>
              <w:t>0814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</w:rPr>
              <w:t>00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土木工程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（需求量大）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岩土工程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02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结构工程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市政工程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04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防灾减灾工程与防护工程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05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桥梁与隧道工程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Z1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土木工程建造与管理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0859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</w:rPr>
              <w:t>00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土木水利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Z1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结构体系创新与工程应用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Z2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地基基础与地下工程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02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市政工程（含给排水等）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0859</w:t>
            </w:r>
            <w:r>
              <w:rPr>
                <w:rFonts w:hint="default" w:ascii="Times New Roman" w:hAnsi="Times New Roman" w:eastAsia="仿宋_gb2312" w:cs="Times New Roman"/>
                <w:sz w:val="16"/>
                <w:szCs w:val="16"/>
                <w:bdr w:val="none" w:color="auto" w:sz="0" w:space="0"/>
              </w:rPr>
              <w:t>00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土木水利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Z1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结构体系创新与工程应用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Z2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地基基础与地下工程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default" w:ascii="Times New Roman" w:hAnsi="Times New Roman" w:cs="Times New Roman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02</w:t>
            </w:r>
            <w:r>
              <w:rPr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市政工程（含给排水等）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南安基地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专项计划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注：1.如有扩招指标则以最终录取人数为准。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    2.本次南安基地专项计划仅在录取阶段区分，不在调剂报名单列名额。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2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1.</w:t>
      </w:r>
      <w:r>
        <w:rPr>
          <w:rFonts w:hint="default" w:ascii="仿宋_gb2312" w:hAnsi="Times New Roman" w:eastAsia="仿宋_gb2312" w:cs="仿宋_gb2312"/>
          <w:color w:val="000000"/>
          <w:sz w:val="21"/>
          <w:szCs w:val="21"/>
          <w:bdr w:val="none" w:color="auto" w:sz="0" w:space="0"/>
        </w:rPr>
        <w:t>符合我校</w:t>
      </w:r>
      <w:r>
        <w:rPr>
          <w:rFonts w:hint="default" w:ascii="Times New Roman" w:hAnsi="Times New Roman" w:cs="Times New Roman"/>
          <w:color w:val="000000"/>
          <w:sz w:val="21"/>
          <w:szCs w:val="21"/>
          <w:bdr w:val="none" w:color="auto" w:sz="0" w:space="0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21"/>
          <w:szCs w:val="21"/>
          <w:bdr w:val="none" w:color="auto" w:sz="0" w:space="0"/>
        </w:rPr>
        <w:t>23</w:t>
      </w:r>
      <w:r>
        <w:rPr>
          <w:rFonts w:hint="default" w:ascii="仿宋_gb2312" w:hAnsi="Times New Roman" w:eastAsia="仿宋_gb2312" w:cs="仿宋_gb2312"/>
          <w:color w:val="000000"/>
          <w:sz w:val="21"/>
          <w:szCs w:val="21"/>
          <w:bdr w:val="none" w:color="auto" w:sz="0" w:space="0"/>
        </w:rPr>
        <w:t>年招生简章中规定的调入专业的报考条件。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2.</w:t>
      </w:r>
      <w:r>
        <w:rPr>
          <w:rFonts w:hint="default" w:ascii="仿宋_gb2312" w:hAnsi="Times New Roman" w:eastAsia="仿宋_gb2312" w:cs="仿宋_gb2312"/>
          <w:color w:val="000000"/>
          <w:sz w:val="21"/>
          <w:szCs w:val="21"/>
          <w:bdr w:val="none" w:color="auto" w:sz="0" w:space="0"/>
        </w:rPr>
        <w:t>初试成绩符合第一志愿报考专业</w:t>
      </w:r>
      <w:r>
        <w:rPr>
          <w:rFonts w:hint="default" w:ascii="Times New Roman" w:hAnsi="Times New Roman" w:cs="Times New Roman"/>
          <w:color w:val="000000"/>
          <w:sz w:val="21"/>
          <w:szCs w:val="21"/>
          <w:bdr w:val="none" w:color="auto" w:sz="0" w:space="0"/>
        </w:rPr>
        <w:t>A</w:t>
      </w:r>
      <w:r>
        <w:rPr>
          <w:rFonts w:hint="default" w:ascii="仿宋_gb2312" w:hAnsi="Times New Roman" w:eastAsia="仿宋_gb2312" w:cs="仿宋_gb2312"/>
          <w:color w:val="000000"/>
          <w:sz w:val="21"/>
          <w:szCs w:val="21"/>
          <w:bdr w:val="none" w:color="auto" w:sz="0" w:space="0"/>
        </w:rPr>
        <w:t>类考生进入复试的初试成绩基本要求。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3.第一志愿报考土木工程（0814）、土木水利（0859）、管理科学与工程（0871）专业的全日制考生可申请调剂，且本科专业、原第一志愿报考专业（含研究方向）与调剂专业（含研究方向）相同或相近。第一志愿报考管理科学与工程（0871）专业的全日制考生仅限调剂到土木工程（0814）下的土木工程建造与管理（081406）研究方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4.</w:t>
      </w:r>
      <w:r>
        <w:rPr>
          <w:rFonts w:hint="default" w:ascii="仿宋_gb2312" w:hAnsi="Times New Roman" w:eastAsia="仿宋_gb2312" w:cs="仿宋_gb2312"/>
          <w:color w:val="000000"/>
          <w:sz w:val="21"/>
          <w:szCs w:val="21"/>
          <w:bdr w:val="none" w:color="auto" w:sz="0" w:space="0"/>
        </w:rPr>
        <w:t>考生初试科目与调入专业初试科目相同或相近，</w:t>
      </w: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其中初试全国统一命题科目应与调入专业全国统一命题科目相同。</w:t>
      </w:r>
      <w:r>
        <w:rPr>
          <w:rStyle w:val="6"/>
          <w:rFonts w:hint="default" w:ascii="仿宋_gb2312" w:hAnsi="仿宋_gb2312" w:eastAsia="仿宋_gb2312" w:cs="仿宋_gb2312"/>
          <w:color w:val="000000"/>
          <w:sz w:val="21"/>
          <w:szCs w:val="21"/>
          <w:u w:val="single"/>
          <w:bdr w:val="none" w:color="auto" w:sz="0" w:space="0"/>
        </w:rPr>
        <w:t>统考科目为数学一（二）、英语一（二）的可以相互调剂，但不可同时报名调剂两个专业，每位考生的调剂次数为1次，且必须满足调剂考生复试基本分数线要求。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0"/>
        <w:gridCol w:w="1030"/>
        <w:gridCol w:w="1280"/>
        <w:gridCol w:w="1300"/>
        <w:gridCol w:w="6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学位类型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调剂专业名称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单科（满分=100分）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单科（满分&gt;100分）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" w:hRule="atLeast"/>
          <w:jc w:val="center"/>
        </w:trPr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学术型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土木工程081400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英语一38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数学一57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英语二66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数学二85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" w:hRule="atLeast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专业型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土木水利085900</w:t>
            </w:r>
          </w:p>
        </w:tc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273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5.对申请我院同一专业、初试科目完全相同的调剂考生，按考生初试成绩择优遴选进入复试的考生名单。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6.所有全日制招生专业都不接收“退役大学生士兵”专项计划调剂。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三、南安基地专项计划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eastAsia="仿宋_gb2312" w:cs="仿宋_gb2312"/>
          <w:color w:val="000000"/>
          <w:sz w:val="21"/>
          <w:szCs w:val="21"/>
          <w:bdr w:val="none" w:color="auto" w:sz="0" w:space="0"/>
        </w:rPr>
        <w:t>详见华侨大学土木工程学院2023年硕士研究生复试录取工作实施细则中（四）关于南安基地专项计划</w: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begin"/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instrText xml:space="preserve"> HYPERLINK "https://civil.hqu.edu.cn/info/1239/11761.htm" </w:instrTex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t>https://civil.hqu.edu.cn/info/1239/11761.htm</w: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四、调剂考生复试时间地点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1.考生报到、资格审查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时间：2023年4月10日上午8:30－11:30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地点：福建省厦门市集美大道668号华侨大学厦门校区教学楼D5-103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考生：符合我院调剂基本要求，进入复试的考生（另行通知）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要求：考生凭借身份证原件、入校报备短信从华侨大学厦门校区南门进入校园。（若考生刷不出身份信息，可凭身份证和准考证与门卫核对纸质版名单后入校）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资格审查结束后，全体考生11:30于D5-103集合，抽取面试顺序。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2、笔试安排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笔试科目：专业课测试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笔试时间：2023年4月10日下午15:00-17:00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笔试地点：华侨大学厦门校区教学楼D5-103、D5-203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笔试内容：复试科目及参考书目见华侨大学研究生招生信息网</w: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begin"/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instrText xml:space="preserve"> HYPERLINK "https://yjszs.hqu.edu.cn/info/1013/2788.htm" </w:instrTex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t>https://yjszs.hqu.edu.cn/info/1013/2788.htm</w:t>
      </w:r>
      <w:r>
        <w:rPr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要求：考生凭借身份证原件、初试准考证进入考场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3、面试安排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面试时间：2023年4月11日上午8:00开始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集中候考室：华侨大学厦门校区教学楼C3-302、C3-404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面试地点：厦门校区（地点另行通知）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每个考生总计面试时长不少于20分钟，不多于25分钟，具体时间由面试专家组根据面试情况适当调整。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QQ咨询1群：695538025；QQ咨询2群：311769420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联系方式：0592-6162708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六、其他事项说明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1．学院将通过“全国硕士研究生招生调剂服务系统”发送复试通知，并要求考生在规定时间内确认。超时未确认的考生视为放弃本单位调剂复试资格，将按名单顺延发放复试通知。符合我院调剂基本要求，进入复试的考生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2．</w:t>
      </w:r>
      <w:r>
        <w:rPr>
          <w:rFonts w:hint="default" w:ascii="仿宋_gb2312" w:hAnsi="仿宋_gb2312" w:eastAsia="仿宋_gb2312" w:cs="仿宋_gb2312"/>
          <w:color w:val="000000"/>
          <w:sz w:val="21"/>
          <w:szCs w:val="21"/>
          <w:u w:val="single"/>
          <w:bdr w:val="none" w:color="auto" w:sz="0" w:space="0"/>
        </w:rPr>
        <w:t>土木水利专业的调剂考生，拟录取后可优先自愿转为“南安基地专项计划”；如有余额，则顺位向后拟录取（考生可选择拟录取为“南安基地专项计划”或进入所报考志愿方向的候补录取名单），直至该专业所有招生指标录满为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3．拟录取为“南安基地专项计划”的考生，一经选定不可变更，且需签订相关协议。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4．如未能招满，将再次开放调剂系统报名。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5. </w:t>
      </w:r>
      <w:r>
        <w:rPr>
          <w:rStyle w:val="6"/>
          <w:rFonts w:hint="default" w:ascii="仿宋_gb2312" w:hAnsi="仿宋_gb2312" w:eastAsia="仿宋_gb2312" w:cs="仿宋_gb2312"/>
          <w:color w:val="000000"/>
          <w:sz w:val="21"/>
          <w:szCs w:val="21"/>
          <w:bdr w:val="none" w:color="auto" w:sz="0" w:space="0"/>
        </w:rPr>
        <w:t>考生资格审查材料（现场提交）、复试方式与内容、复试权重及总成绩、拟录取名单的确定、体检等要求参照华侨大学土木工程学院2023年硕士研究生复试录取工作实施细则：</w:t>
      </w:r>
      <w:r>
        <w:rPr>
          <w:sz w:val="21"/>
          <w:szCs w:val="21"/>
          <w:u w:val="single"/>
          <w:bdr w:val="none" w:color="auto" w:sz="0" w:space="0"/>
        </w:rPr>
        <w:fldChar w:fldCharType="begin"/>
      </w:r>
      <w:r>
        <w:rPr>
          <w:sz w:val="21"/>
          <w:szCs w:val="21"/>
          <w:u w:val="single"/>
          <w:bdr w:val="none" w:color="auto" w:sz="0" w:space="0"/>
        </w:rPr>
        <w:instrText xml:space="preserve"> HYPERLINK "https://civil.hqu.edu.cn/info/1239/11761.htm" </w:instrText>
      </w:r>
      <w:r>
        <w:rPr>
          <w:sz w:val="21"/>
          <w:szCs w:val="21"/>
          <w:u w:val="single"/>
          <w:bdr w:val="none" w:color="auto" w:sz="0" w:space="0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0000FF"/>
          <w:sz w:val="21"/>
          <w:szCs w:val="21"/>
          <w:u w:val="single"/>
          <w:bdr w:val="none" w:color="auto" w:sz="0" w:space="0"/>
        </w:rPr>
        <w:t>https://civil.hqu.edu.cn/info/1239/11761.htm</w:t>
      </w:r>
      <w:r>
        <w:rPr>
          <w:sz w:val="21"/>
          <w:szCs w:val="21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430" w:firstLine="0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7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2023-05-17T00:32:57Z</dcterms:created>
  <dc:creator>86188</dc:creator>
  <cp:lastModifiedBy>随风而动</cp:lastModifiedBy>
  <dcterms:modified xsi:type="dcterms:W3CDTF">2023-05-17T00:32:58Z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