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华侨大学工商管理学院2023年硕士研究生接受调剂通知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/>
        <w:jc w:val="center"/>
        <w:rPr>
          <w:rFonts w:hint="eastAsia" w:ascii="微软雅黑" w:hAnsi="微软雅黑" w:eastAsia="微软雅黑" w:cs="微软雅黑"/>
          <w:color w:val="83838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838383"/>
          <w:spacing w:val="0"/>
          <w:sz w:val="14"/>
          <w:szCs w:val="14"/>
          <w:bdr w:val="none" w:color="auto" w:sz="0" w:space="0"/>
          <w:shd w:val="clear" w:fill="FFFFFF"/>
        </w:rPr>
        <w:t>发布日期：2023-03-13    点击：[7214]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华侨大学工商管理学院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年硕士研究生招生有一定数量的名额接收调剂考生，欢迎符合条件的考生调剂到我院。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一、拟调剂专业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专业代码：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120200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专业名称：工商管理（按一级学科招生）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-4"/>
          <w:sz w:val="15"/>
          <w:szCs w:val="15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-4"/>
          <w:sz w:val="15"/>
          <w:szCs w:val="15"/>
          <w:bdr w:val="none" w:color="auto" w:sz="0" w:space="0"/>
          <w:shd w:val="clear" w:fill="FFFFFF"/>
        </w:rPr>
        <w:t>研究方向：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  <w:lang w:val="en-US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）企业管理（跨国企业投资、华商管理、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国际商务、财务管理）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）企业创新创业管理（知识与创新管理、创业管理、组织变革、组织行为）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（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  <w:lang w:val="en-US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）企业大数据管理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000000" w:sz="8" w:space="0"/>
          <w:shd w:val="clear" w:fill="FFFFFF"/>
        </w:rPr>
        <w:t>数字营销、信息管理、个性化推荐、大数据隐私）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-4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二、调剂要求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初试成绩符合第一志愿报考专业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A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类考生进入复试的初试成绩基本要求，以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年全国硕士研究生考试考生进入复试的初试成绩要求为准。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一志愿报考专业代码前四位为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1201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或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1202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3. 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-4"/>
          <w:sz w:val="15"/>
          <w:szCs w:val="15"/>
          <w:bdr w:val="none" w:color="auto" w:sz="0" w:space="0"/>
          <w:shd w:val="clear" w:fill="FFFFFF"/>
        </w:rPr>
        <w:t>三、调剂办法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中国研究生招生信息网调剂系统开通后，请符合调剂要求考生第一时间登陆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中国研究生招生信息网”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 (</w:t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5"/>
          <w:szCs w:val="15"/>
          <w:u w:val="single"/>
          <w:bdr w:val="none" w:color="auto" w:sz="0" w:space="0"/>
          <w:shd w:val="clear" w:fill="FFFFFF"/>
          <w:lang w:val="en-US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5"/>
          <w:szCs w:val="15"/>
          <w:u w:val="single"/>
          <w:bdr w:val="none" w:color="auto" w:sz="0" w:space="0"/>
          <w:shd w:val="clear" w:fill="FFFFFF"/>
          <w:lang w:val="en-US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5"/>
          <w:szCs w:val="15"/>
          <w:u w:val="singl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u w:val="none"/>
          <w:bdr w:val="none" w:color="auto" w:sz="0" w:space="0"/>
          <w:shd w:val="clear" w:fill="FFFFFF"/>
          <w:lang w:val="en-US"/>
        </w:rPr>
        <w:t>http://yz.chsi.com.cn</w:t>
      </w:r>
      <w:r>
        <w:rPr>
          <w:rFonts w:hint="eastAsia" w:ascii="微软雅黑" w:hAnsi="微软雅黑" w:eastAsia="微软雅黑" w:cs="微软雅黑"/>
          <w:i w:val="0"/>
          <w:caps w:val="0"/>
          <w:color w:val="0000FF"/>
          <w:spacing w:val="0"/>
          <w:sz w:val="15"/>
          <w:szCs w:val="15"/>
          <w:u w:val="single"/>
          <w:bdr w:val="none" w:color="auto" w:sz="0" w:space="0"/>
          <w:shd w:val="clear" w:fill="FFFFFF"/>
          <w:lang w:val="en-US"/>
        </w:rPr>
        <w:fldChar w:fldCharType="end"/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)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，填写个人调剂志愿。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我院对考生资格进行初审，通知确定考生参加调剂面试。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560"/>
        <w:jc w:val="both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请考生务必在规定的时间内接受复试通知，复试合格拟录取的调剂考生必须在规定的时间内网上确认待录取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  <w:lang w:val="en-US"/>
        </w:rPr>
        <w:t>,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逾期按考生自动放弃处理。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Style w:val="6"/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咨询电话：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0595-22692651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（联系人：吴老师）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调剂咨询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QQ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群：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462419621                 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24"/>
        <w:jc w:val="left"/>
        <w:rPr>
          <w:rFonts w:hint="eastAsia" w:ascii="微软雅黑" w:hAnsi="微软雅黑" w:eastAsia="微软雅黑" w:cs="微软雅黑"/>
          <w:color w:val="000000"/>
          <w:sz w:val="15"/>
          <w:szCs w:val="1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（加群请备注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“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初试总分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第一志愿专业名称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-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姓名</w:t>
      </w:r>
      <w:r>
        <w:rPr>
          <w:rFonts w:hint="default" w:ascii="Times New Roman" w:hAnsi="Times New Roman" w:eastAsia="微软雅黑" w:cs="Times New Roman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”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0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2023-05-16T08:42:48Z</dcterms:created>
  <dc:creator>86188</dc:creator>
  <cp:lastModifiedBy>随风而动</cp:lastModifiedBy>
  <dcterms:modified xsi:type="dcterms:W3CDTF">2023-05-16T08:42:49Z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