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color w:val="2B2B2B"/>
          <w:sz w:val="24"/>
          <w:szCs w:val="24"/>
        </w:rPr>
      </w:pPr>
      <w:r>
        <w:rPr>
          <w:i w:val="0"/>
          <w:caps w:val="0"/>
          <w:color w:val="2B2B2B"/>
          <w:spacing w:val="0"/>
          <w:sz w:val="24"/>
          <w:szCs w:val="24"/>
          <w:bdr w:val="none" w:color="auto" w:sz="0" w:space="0"/>
          <w:shd w:val="clear" w:fill="FFFFFF"/>
        </w:rPr>
        <w:t>华北电力大学（保定）2023年硕士研究生部分专业接收调剂公告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70" w:lineRule="atLeast"/>
        <w:ind w:left="0" w:right="0" w:firstLine="0"/>
        <w:jc w:val="center"/>
        <w:rPr>
          <w:rFonts w:ascii="Verdana" w:hAnsi="Verdana" w:cs="Verdana"/>
          <w:i w:val="0"/>
          <w:caps w:val="0"/>
          <w:color w:val="333333"/>
          <w:spacing w:val="0"/>
          <w:sz w:val="12"/>
          <w:szCs w:val="12"/>
        </w:rPr>
      </w:pPr>
      <w:r>
        <w:rPr>
          <w:rFonts w:hint="default" w:ascii="Verdana" w:hAnsi="Verdana" w:eastAsia="宋体" w:cs="Verdana"/>
          <w:i w:val="0"/>
          <w:caps w:val="0"/>
          <w:color w:val="333333"/>
          <w:spacing w:val="0"/>
          <w:kern w:val="0"/>
          <w:sz w:val="12"/>
          <w:szCs w:val="12"/>
          <w:bdr w:val="none" w:color="auto" w:sz="0" w:space="0"/>
          <w:shd w:val="clear" w:fill="FFFFFF"/>
          <w:lang w:val="en-US" w:eastAsia="zh-CN" w:bidi="ar"/>
        </w:rPr>
        <w:t>时间: 2023-03-27 作者:浏览量:43424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在2023年全国硕士研究生入学考试中，报考我校的考生取得了优异的成绩，按照国家A类复试分数线，上线人数远远超出了现有的招生规模，但由于专业报考不均衡，部分专业上线人数不足，需接收优秀调剂生源。欢迎调剂考生密切关注我校研究生院网站和相关院系网站。调剂工作具体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Style w:val="6"/>
          <w:rFonts w:hint="default" w:ascii="Verdana" w:hAnsi="Verdana" w:cs="Verdana"/>
          <w:i w:val="0"/>
          <w:caps w:val="0"/>
          <w:color w:val="333333"/>
          <w:spacing w:val="0"/>
          <w:sz w:val="16"/>
          <w:szCs w:val="16"/>
          <w:bdr w:val="none" w:color="auto" w:sz="0" w:space="0"/>
          <w:shd w:val="clear" w:fill="FFFFFF"/>
        </w:rPr>
        <w:t>一、接收调剂专业及缺额情况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可接收调剂的专业及缺额情况见附件一。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各缺额专业原则上按200%—300%比例接收调剂。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Style w:val="6"/>
          <w:rFonts w:hint="default" w:ascii="Verdana" w:hAnsi="Verdana" w:cs="Verdana"/>
          <w:i w:val="0"/>
          <w:caps w:val="0"/>
          <w:color w:val="333333"/>
          <w:spacing w:val="0"/>
          <w:sz w:val="16"/>
          <w:szCs w:val="16"/>
          <w:bdr w:val="none" w:color="auto" w:sz="0" w:space="0"/>
          <w:shd w:val="clear" w:fill="FFFFFF"/>
        </w:rPr>
        <w:t>二、调剂原则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1、须符合招生简章中规定的调入专业的报考条件。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2、初试成绩符合第一志愿报考专业在一区的全国初试成绩基本要求。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4、考生初试科目与调入专业初试科目相同或相近，其中初试全国统一命题科目应与调入专业全国统一命题科目相同，且英语一可调英语二，数学一可调数学二、数学三，反之不可。考生初试考试科目不得与调入专业复试考试科目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5、第一志愿报考照顾专业（工学照顾专业，下同）的考生若调剂出本类照顾专业，其初试成绩必须达到一区该照顾专业所在学科门类（类别）的全国初试成绩基本要求。第一志愿报考非照顾专业的考生若调入照顾专业，其初试成绩必须符合一区对应的非照顾专业学科门类（类别）的全国初试成绩基本要求。工学照顾专业之间互调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6、第一志愿报考工商管理、公共管理、旅游管理、工程管理、会计、图书情报、审计专业学位硕士的考生，在满足调入专业报考条件的基础上，可申请相互调剂，但不得调入其他专业；其他专业考生也不能调入以上专业。第一志愿报考法律（非法学）专业学位硕士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7、报考“少数民族骨干计划”的考生不得调剂到该计划以外录取；未报考的不得调剂入该计划录取。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8、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9、参加单独考试的考生不得调剂。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10、非全日制硕士研究生只接受在职定向考生调剂，所有申请调剂非全日制的考生，须在申请调剂时向院系提交</w:t>
      </w:r>
      <w:r>
        <w:rPr>
          <w:rFonts w:hint="default" w:ascii="Verdana" w:hAnsi="Verdana" w:cs="Verdana"/>
          <w:i w:val="0"/>
          <w:caps w:val="0"/>
          <w:color w:val="256EB1"/>
          <w:spacing w:val="0"/>
          <w:sz w:val="16"/>
          <w:szCs w:val="16"/>
          <w:u w:val="none"/>
          <w:bdr w:val="none" w:color="auto" w:sz="0" w:space="0"/>
          <w:shd w:val="clear" w:fill="FFFFFF"/>
        </w:rPr>
        <w:fldChar w:fldCharType="begin"/>
      </w:r>
      <w:r>
        <w:rPr>
          <w:rFonts w:hint="default" w:ascii="Verdana" w:hAnsi="Verdana" w:cs="Verdana"/>
          <w:i w:val="0"/>
          <w:caps w:val="0"/>
          <w:color w:val="256EB1"/>
          <w:spacing w:val="0"/>
          <w:sz w:val="16"/>
          <w:szCs w:val="16"/>
          <w:u w:val="none"/>
          <w:bdr w:val="none" w:color="auto" w:sz="0" w:space="0"/>
          <w:shd w:val="clear" w:fill="FFFFFF"/>
        </w:rPr>
        <w:instrText xml:space="preserve"> HYPERLINK "https://gs.ncepu.edu.cn/docs/2023-03/9c63a32622704958bf77cc404beec47a.docx" </w:instrText>
      </w:r>
      <w:r>
        <w:rPr>
          <w:rFonts w:hint="default" w:ascii="Verdana" w:hAnsi="Verdana" w:cs="Verdana"/>
          <w:i w:val="0"/>
          <w:caps w:val="0"/>
          <w:color w:val="256EB1"/>
          <w:spacing w:val="0"/>
          <w:sz w:val="16"/>
          <w:szCs w:val="16"/>
          <w:u w:val="none"/>
          <w:bdr w:val="none" w:color="auto" w:sz="0" w:space="0"/>
          <w:shd w:val="clear" w:fill="FFFFFF"/>
        </w:rPr>
        <w:fldChar w:fldCharType="separate"/>
      </w:r>
      <w:r>
        <w:rPr>
          <w:rStyle w:val="7"/>
          <w:rFonts w:hint="default" w:ascii="Verdana" w:hAnsi="Verdana" w:cs="Verdana"/>
          <w:i w:val="0"/>
          <w:caps w:val="0"/>
          <w:color w:val="256EB1"/>
          <w:spacing w:val="0"/>
          <w:sz w:val="16"/>
          <w:szCs w:val="16"/>
          <w:u w:val="none"/>
          <w:bdr w:val="none" w:color="auto" w:sz="0" w:space="0"/>
          <w:shd w:val="clear" w:fill="FFFFFF"/>
        </w:rPr>
        <w:t>《调剂申请书》（点击下载）</w:t>
      </w:r>
      <w:r>
        <w:rPr>
          <w:rFonts w:hint="default" w:ascii="Verdana" w:hAnsi="Verdana" w:cs="Verdana"/>
          <w:i w:val="0"/>
          <w:caps w:val="0"/>
          <w:color w:val="256EB1"/>
          <w:spacing w:val="0"/>
          <w:sz w:val="16"/>
          <w:szCs w:val="16"/>
          <w:u w:val="none"/>
          <w:bdr w:val="none" w:color="auto" w:sz="0" w:space="0"/>
          <w:shd w:val="clear" w:fill="FFFFFF"/>
        </w:rPr>
        <w:fldChar w:fldCharType="end"/>
      </w:r>
      <w:r>
        <w:rPr>
          <w:rFonts w:hint="default" w:ascii="Verdana" w:hAnsi="Verdana" w:cs="Verdana"/>
          <w:i w:val="0"/>
          <w:caps w:val="0"/>
          <w:color w:val="333333"/>
          <w:spacing w:val="0"/>
          <w:sz w:val="16"/>
          <w:szCs w:val="16"/>
          <w:bdr w:val="none" w:color="auto" w:sz="0" w:space="0"/>
          <w:shd w:val="clear" w:fill="FFFFFF"/>
        </w:rPr>
        <w:t>和</w:t>
      </w:r>
      <w:r>
        <w:rPr>
          <w:rFonts w:hint="default" w:ascii="Verdana" w:hAnsi="Verdana" w:cs="Verdana"/>
          <w:i w:val="0"/>
          <w:caps w:val="0"/>
          <w:color w:val="256EB1"/>
          <w:spacing w:val="0"/>
          <w:sz w:val="16"/>
          <w:szCs w:val="16"/>
          <w:u w:val="none"/>
          <w:bdr w:val="none" w:color="auto" w:sz="0" w:space="0"/>
          <w:shd w:val="clear" w:fill="FFFFFF"/>
        </w:rPr>
        <w:fldChar w:fldCharType="begin"/>
      </w:r>
      <w:r>
        <w:rPr>
          <w:rFonts w:hint="default" w:ascii="Verdana" w:hAnsi="Verdana" w:cs="Verdana"/>
          <w:i w:val="0"/>
          <w:caps w:val="0"/>
          <w:color w:val="256EB1"/>
          <w:spacing w:val="0"/>
          <w:sz w:val="16"/>
          <w:szCs w:val="16"/>
          <w:u w:val="none"/>
          <w:bdr w:val="none" w:color="auto" w:sz="0" w:space="0"/>
          <w:shd w:val="clear" w:fill="FFFFFF"/>
        </w:rPr>
        <w:instrText xml:space="preserve"> HYPERLINK "https://gs.ncepu.edu.cn/docs/2023-03/c8cdad58601042a18d24f3289814cf21.doc" </w:instrText>
      </w:r>
      <w:r>
        <w:rPr>
          <w:rFonts w:hint="default" w:ascii="Verdana" w:hAnsi="Verdana" w:cs="Verdana"/>
          <w:i w:val="0"/>
          <w:caps w:val="0"/>
          <w:color w:val="256EB1"/>
          <w:spacing w:val="0"/>
          <w:sz w:val="16"/>
          <w:szCs w:val="16"/>
          <w:u w:val="none"/>
          <w:bdr w:val="none" w:color="auto" w:sz="0" w:space="0"/>
          <w:shd w:val="clear" w:fill="FFFFFF"/>
        </w:rPr>
        <w:fldChar w:fldCharType="separate"/>
      </w:r>
      <w:r>
        <w:rPr>
          <w:rStyle w:val="7"/>
          <w:rFonts w:hint="default" w:ascii="Verdana" w:hAnsi="Verdana" w:cs="Verdana"/>
          <w:i w:val="0"/>
          <w:caps w:val="0"/>
          <w:color w:val="256EB1"/>
          <w:spacing w:val="0"/>
          <w:sz w:val="16"/>
          <w:szCs w:val="16"/>
          <w:u w:val="none"/>
          <w:bdr w:val="none" w:color="auto" w:sz="0" w:space="0"/>
          <w:shd w:val="clear" w:fill="FFFFFF"/>
        </w:rPr>
        <w:t>《定向培养证明》（点击下载）</w:t>
      </w:r>
      <w:r>
        <w:rPr>
          <w:rFonts w:hint="default" w:ascii="Verdana" w:hAnsi="Verdana" w:cs="Verdana"/>
          <w:i w:val="0"/>
          <w:caps w:val="0"/>
          <w:color w:val="256EB1"/>
          <w:spacing w:val="0"/>
          <w:sz w:val="16"/>
          <w:szCs w:val="16"/>
          <w:u w:val="none"/>
          <w:bdr w:val="none" w:color="auto" w:sz="0" w:space="0"/>
          <w:shd w:val="clear" w:fill="FFFFFF"/>
        </w:rPr>
        <w:fldChar w:fldCharType="end"/>
      </w:r>
      <w:r>
        <w:rPr>
          <w:rFonts w:hint="default" w:ascii="Verdana" w:hAnsi="Verdana" w:cs="Verdana"/>
          <w:i w:val="0"/>
          <w:caps w:val="0"/>
          <w:color w:val="333333"/>
          <w:spacing w:val="0"/>
          <w:sz w:val="16"/>
          <w:szCs w:val="16"/>
          <w:bdr w:val="none" w:color="auto" w:sz="0" w:space="0"/>
          <w:shd w:val="clear" w:fill="FFFFFF"/>
        </w:rPr>
        <w:t>，并在拟录取后按我校要求签署定向协议。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11、只接收外语语种为英语的考生调剂（注：外国语言文学专业二外仅限法语、俄语和日语）。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12、所有调剂考生均需参加调入专业的复试，包括复试笔试科目（具体参见我校《2023年硕士生考试招生专业目录》）。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Style w:val="6"/>
          <w:rFonts w:hint="default" w:ascii="Verdana" w:hAnsi="Verdana" w:cs="Verdana"/>
          <w:i w:val="0"/>
          <w:caps w:val="0"/>
          <w:color w:val="333333"/>
          <w:spacing w:val="0"/>
          <w:sz w:val="16"/>
          <w:szCs w:val="16"/>
          <w:bdr w:val="none" w:color="auto" w:sz="0" w:space="0"/>
          <w:shd w:val="clear" w:fill="FFFFFF"/>
        </w:rPr>
        <w:t>三、调剂工作程序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1、调剂信息发布：各院系结合本单位实际情况，在不违背上述调剂原则的情况下，制定相应的具体调剂办法，要求明确专业申请基本要求、申请时间及程序、接收原则、联系咨询电话等，并在本院系网站对外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2、调剂申请：全部申请调剂考生（包括校内调剂考生）需</w:t>
      </w:r>
      <w:r>
        <w:rPr>
          <w:rFonts w:hint="default" w:ascii="Verdana" w:hAnsi="Verdana" w:cs="Verdana"/>
          <w:i w:val="0"/>
          <w:caps w:val="0"/>
          <w:color w:val="000000"/>
          <w:spacing w:val="0"/>
          <w:sz w:val="16"/>
          <w:szCs w:val="16"/>
          <w:bdr w:val="none" w:color="auto" w:sz="0" w:space="0"/>
          <w:shd w:val="clear" w:fill="FFFFFF"/>
        </w:rPr>
        <w:t>登陆中国研究生招生信息网（网址：</w:t>
      </w:r>
      <w:r>
        <w:rPr>
          <w:rFonts w:hint="default" w:ascii="Verdana" w:hAnsi="Verdana" w:cs="Verdana"/>
          <w:i w:val="0"/>
          <w:caps w:val="0"/>
          <w:color w:val="256EB1"/>
          <w:spacing w:val="0"/>
          <w:sz w:val="16"/>
          <w:szCs w:val="16"/>
          <w:u w:val="none"/>
          <w:bdr w:val="none" w:color="auto" w:sz="0" w:space="0"/>
          <w:shd w:val="clear" w:fill="FFFFFF"/>
        </w:rPr>
        <w:fldChar w:fldCharType="begin"/>
      </w:r>
      <w:r>
        <w:rPr>
          <w:rFonts w:hint="default" w:ascii="Verdana" w:hAnsi="Verdana" w:cs="Verdana"/>
          <w:i w:val="0"/>
          <w:caps w:val="0"/>
          <w:color w:val="256EB1"/>
          <w:spacing w:val="0"/>
          <w:sz w:val="16"/>
          <w:szCs w:val="16"/>
          <w:u w:val="none"/>
          <w:bdr w:val="none" w:color="auto" w:sz="0" w:space="0"/>
          <w:shd w:val="clear" w:fill="FFFFFF"/>
        </w:rPr>
        <w:instrText xml:space="preserve"> HYPERLINK "https://yz.chsi.com.cn/" </w:instrText>
      </w:r>
      <w:r>
        <w:rPr>
          <w:rFonts w:hint="default" w:ascii="Verdana" w:hAnsi="Verdana" w:cs="Verdana"/>
          <w:i w:val="0"/>
          <w:caps w:val="0"/>
          <w:color w:val="256EB1"/>
          <w:spacing w:val="0"/>
          <w:sz w:val="16"/>
          <w:szCs w:val="16"/>
          <w:u w:val="none"/>
          <w:bdr w:val="none" w:color="auto" w:sz="0" w:space="0"/>
          <w:shd w:val="clear" w:fill="FFFFFF"/>
        </w:rPr>
        <w:fldChar w:fldCharType="separate"/>
      </w:r>
      <w:r>
        <w:rPr>
          <w:rStyle w:val="7"/>
          <w:rFonts w:hint="default" w:ascii="Verdana" w:hAnsi="Verdana" w:cs="Verdana"/>
          <w:i w:val="0"/>
          <w:caps w:val="0"/>
          <w:color w:val="256EB1"/>
          <w:spacing w:val="0"/>
          <w:sz w:val="16"/>
          <w:szCs w:val="16"/>
          <w:u w:val="none"/>
          <w:bdr w:val="none" w:color="auto" w:sz="0" w:space="0"/>
          <w:shd w:val="clear" w:fill="FFFFFF"/>
        </w:rPr>
        <w:t>https://yz.chsi.com.cn/</w:t>
      </w:r>
      <w:r>
        <w:rPr>
          <w:rFonts w:hint="default" w:ascii="Verdana" w:hAnsi="Verdana" w:cs="Verdana"/>
          <w:i w:val="0"/>
          <w:caps w:val="0"/>
          <w:color w:val="256EB1"/>
          <w:spacing w:val="0"/>
          <w:sz w:val="16"/>
          <w:szCs w:val="16"/>
          <w:u w:val="none"/>
          <w:bdr w:val="none" w:color="auto" w:sz="0" w:space="0"/>
          <w:shd w:val="clear" w:fill="FFFFFF"/>
        </w:rPr>
        <w:fldChar w:fldCharType="end"/>
      </w:r>
      <w:r>
        <w:rPr>
          <w:rFonts w:hint="default" w:ascii="Verdana" w:hAnsi="Verdana" w:cs="Verdana"/>
          <w:i w:val="0"/>
          <w:caps w:val="0"/>
          <w:color w:val="333333"/>
          <w:spacing w:val="0"/>
          <w:sz w:val="14"/>
          <w:szCs w:val="14"/>
          <w:bdr w:val="none" w:color="auto" w:sz="0" w:space="0"/>
          <w:shd w:val="clear" w:fill="FFFFFF"/>
        </w:rPr>
        <w:t> </w:t>
      </w:r>
      <w:r>
        <w:rPr>
          <w:rFonts w:hint="default" w:ascii="Verdana" w:hAnsi="Verdana" w:cs="Verdana"/>
          <w:i w:val="0"/>
          <w:caps w:val="0"/>
          <w:color w:val="000000"/>
          <w:spacing w:val="0"/>
          <w:sz w:val="16"/>
          <w:szCs w:val="16"/>
          <w:bdr w:val="none" w:color="auto" w:sz="0" w:space="0"/>
          <w:shd w:val="clear" w:fill="FFFFFF"/>
        </w:rPr>
        <w:t>）“全国硕士研究生调剂服务系统”提交调剂申请，务必选择河北省——（10079）华北电力大学（保定），并选择调剂专业。</w:t>
      </w:r>
      <w:r>
        <w:rPr>
          <w:rStyle w:val="6"/>
          <w:rFonts w:hint="default" w:ascii="Verdana" w:hAnsi="Verdana" w:cs="Verdana"/>
          <w:i w:val="0"/>
          <w:caps w:val="0"/>
          <w:color w:val="333333"/>
          <w:spacing w:val="0"/>
          <w:sz w:val="16"/>
          <w:szCs w:val="16"/>
          <w:bdr w:val="none" w:color="auto" w:sz="0" w:space="0"/>
          <w:shd w:val="clear" w:fill="FFFFFF"/>
        </w:rPr>
        <w:t>具体接收调剂申请时间由院系确定，请考生密切关注相关院系网站，查看院系接收调剂办法</w:t>
      </w:r>
      <w:r>
        <w:rPr>
          <w:rFonts w:hint="default" w:ascii="Verdana" w:hAnsi="Verdana" w:cs="Verdana"/>
          <w:i w:val="0"/>
          <w:caps w:val="0"/>
          <w:color w:val="333333"/>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3、筛选阶段：各院系研究生招生工作领导小组，对网上已提交调剂申请的考生情况进行综合审查，最终确定调剂人选。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4、考生确认阶段：调剂人选经大学研究生招生工作领导小组审定后，各院系</w:t>
      </w:r>
      <w:r>
        <w:rPr>
          <w:rFonts w:hint="default" w:ascii="Verdana" w:hAnsi="Verdana" w:cs="Verdana"/>
          <w:i w:val="0"/>
          <w:caps w:val="0"/>
          <w:color w:val="000000"/>
          <w:spacing w:val="0"/>
          <w:sz w:val="16"/>
          <w:szCs w:val="16"/>
          <w:bdr w:val="none" w:color="auto" w:sz="0" w:space="0"/>
          <w:shd w:val="clear" w:fill="FFFFFF"/>
        </w:rPr>
        <w:t>通过“全国硕士研究生调剂服务系统”，向</w:t>
      </w:r>
      <w:r>
        <w:rPr>
          <w:rFonts w:hint="default" w:ascii="Verdana" w:hAnsi="Verdana" w:cs="Verdana"/>
          <w:i w:val="0"/>
          <w:caps w:val="0"/>
          <w:color w:val="333333"/>
          <w:spacing w:val="0"/>
          <w:sz w:val="16"/>
          <w:szCs w:val="16"/>
          <w:bdr w:val="none" w:color="auto" w:sz="0" w:space="0"/>
          <w:shd w:val="clear" w:fill="FFFFFF"/>
        </w:rPr>
        <w:t>考生发送复试通知，</w:t>
      </w:r>
      <w:r>
        <w:rPr>
          <w:rFonts w:hint="default" w:ascii="Verdana" w:hAnsi="Verdana" w:cs="Verdana"/>
          <w:i w:val="0"/>
          <w:caps w:val="0"/>
          <w:color w:val="000000"/>
          <w:spacing w:val="0"/>
          <w:sz w:val="16"/>
          <w:szCs w:val="16"/>
          <w:bdr w:val="none" w:color="auto" w:sz="0" w:space="0"/>
          <w:shd w:val="clear" w:fill="FFFFFF"/>
        </w:rPr>
        <w:t>考生需在院系规定时间内确认接受。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5、备案阶段：各院系下载已确认接受复试的考生数据库，将签字、盖好章的调剂结果汇总表，报研究生招生办公室备案。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6、调剂名单公布：各院系</w:t>
      </w:r>
      <w:r>
        <w:rPr>
          <w:rFonts w:hint="default" w:ascii="Verdana" w:hAnsi="Verdana" w:cs="Verdana"/>
          <w:i w:val="0"/>
          <w:caps w:val="0"/>
          <w:color w:val="000000"/>
          <w:spacing w:val="0"/>
          <w:sz w:val="16"/>
          <w:szCs w:val="16"/>
          <w:bdr w:val="none" w:color="auto" w:sz="0" w:space="0"/>
          <w:shd w:val="clear" w:fill="FFFFFF"/>
        </w:rPr>
        <w:t>在本院系网站对外公布所有调剂考生复试名单。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000000"/>
          <w:spacing w:val="0"/>
          <w:sz w:val="16"/>
          <w:szCs w:val="16"/>
          <w:bdr w:val="none" w:color="auto" w:sz="0" w:space="0"/>
          <w:shd w:val="clear" w:fill="FFFFFF"/>
        </w:rPr>
        <w:t>有关调剂的具体流程及时间安排详见各院系接收调剂办法，请考生务必随时关注各院系网站的相关调剂信息。所有已被我校确认接收的调剂考生（既包括校外调剂考生、也包括校内调剂考生）均需通过“全国硕士研究生调剂服务系统”办理调剂，我校发送复试通知，并经考生本人确认接受后，调剂方为有效。在规定时间内，未点击确认接受的，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Style w:val="6"/>
          <w:rFonts w:hint="default" w:ascii="Verdana" w:hAnsi="Verdana" w:cs="Verdana"/>
          <w:i w:val="0"/>
          <w:caps w:val="0"/>
          <w:color w:val="333333"/>
          <w:spacing w:val="0"/>
          <w:sz w:val="16"/>
          <w:szCs w:val="16"/>
          <w:bdr w:val="none" w:color="auto" w:sz="0" w:space="0"/>
          <w:shd w:val="clear" w:fill="FFFFFF"/>
        </w:rPr>
        <w:t>四、其他注意事项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1、凡在网上调剂系统中显示考生已被其它招生单位录取的，我校均不再接受该生的调剂，请考生慎重选择调剂学校。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2、每位考生原则上只能申请调剂到我校的一个专业。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3、我校各专业不接收以同等学力身份报考的调剂考生（公共管理专业学位除外）。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4、学习方式分为全日制和非全日制两种，以考生调剂时填报信息为准，后期不可更改。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5、所有已接受我校复试的调剂考生，需登录调剂院系网站查看各院系复试及录取工作实施细则和接收调剂办法，并按要求提前做好各项复试准备工作。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6、有关调剂方面问题，可与调剂专业所属院系联系（联系方式见附件二）。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jc w:val="both"/>
      </w:pPr>
      <w:r>
        <w:rPr>
          <w:rFonts w:hint="default" w:ascii="Verdana" w:hAnsi="Verdana" w:cs="Verdana"/>
          <w:i w:val="0"/>
          <w:caps w:val="0"/>
          <w:color w:val="333333"/>
          <w:spacing w:val="0"/>
          <w:sz w:val="16"/>
          <w:szCs w:val="16"/>
          <w:bdr w:val="none" w:color="auto" w:sz="0" w:space="0"/>
          <w:shd w:val="clear" w:fill="FFFFFF"/>
        </w:rPr>
        <w:t>7、有关未被接受调剂的考生遗留问题，各院系负责解释。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0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pPr>
      <w:r>
        <w:rPr>
          <w:rFonts w:hint="default" w:ascii="Verdana" w:hAnsi="Verdana" w:cs="Verdana"/>
          <w:i w:val="0"/>
          <w:caps w:val="0"/>
          <w:color w:val="333333"/>
          <w:spacing w:val="0"/>
          <w:sz w:val="16"/>
          <w:szCs w:val="16"/>
          <w:bdr w:val="none" w:color="auto" w:sz="0" w:space="0"/>
          <w:shd w:val="clear" w:fill="FFFFFF"/>
        </w:rPr>
        <w:t>附件一： 2023年硕士研究生招生考试接收调剂的专业领域（非专项计划）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20"/>
      </w:pPr>
      <w:r>
        <w:rPr>
          <w:rFonts w:hint="default" w:ascii="Verdana" w:hAnsi="Verdana" w:cs="Verdana"/>
          <w:i w:val="0"/>
          <w:caps w:val="0"/>
          <w:color w:val="333333"/>
          <w:spacing w:val="0"/>
          <w:sz w:val="16"/>
          <w:szCs w:val="16"/>
          <w:bdr w:val="none" w:color="auto" w:sz="0" w:space="0"/>
          <w:shd w:val="clear" w:fill="FFFFFF"/>
        </w:rPr>
        <w:t>附件二：院系联系方式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38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38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380"/>
        <w:jc w:val="right"/>
      </w:pPr>
      <w:r>
        <w:rPr>
          <w:rFonts w:hint="default" w:ascii="Verdana" w:hAnsi="Verdana" w:cs="Verdana"/>
          <w:i w:val="0"/>
          <w:caps w:val="0"/>
          <w:color w:val="333333"/>
          <w:spacing w:val="0"/>
          <w:sz w:val="16"/>
          <w:szCs w:val="16"/>
          <w:bdr w:val="none" w:color="auto" w:sz="0" w:space="0"/>
          <w:shd w:val="clear" w:fill="FFFFFF"/>
        </w:rPr>
        <w:t>华北电力大学（保定）研招办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380"/>
        <w:jc w:val="right"/>
      </w:pPr>
      <w:r>
        <w:rPr>
          <w:rFonts w:hint="default" w:ascii="Verdana" w:hAnsi="Verdana" w:cs="Verdana"/>
          <w:i w:val="0"/>
          <w:caps w:val="0"/>
          <w:color w:val="333333"/>
          <w:spacing w:val="0"/>
          <w:sz w:val="16"/>
          <w:szCs w:val="16"/>
          <w:bdr w:val="none" w:color="auto" w:sz="0" w:space="0"/>
          <w:shd w:val="clear" w:fill="FFFFFF"/>
        </w:rPr>
        <w:t>2023年3月 27日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20"/>
        <w:jc w:val="left"/>
      </w:pPr>
      <w:r>
        <w:rPr>
          <w:rStyle w:val="6"/>
          <w:rFonts w:ascii="仿宋" w:hAnsi="仿宋" w:eastAsia="仿宋" w:cs="仿宋"/>
          <w:i w:val="0"/>
          <w:caps w:val="0"/>
          <w:color w:val="333333"/>
          <w:spacing w:val="0"/>
          <w:sz w:val="19"/>
          <w:szCs w:val="19"/>
          <w:bdr w:val="none" w:color="auto" w:sz="0" w:space="0"/>
          <w:shd w:val="clear" w:fill="FFFFFF"/>
        </w:rPr>
        <w:t>附件一：华北电力大学(保定)2023年硕士研究生接收调剂的专业领域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420"/>
        <w:jc w:val="center"/>
      </w:pPr>
      <w:r>
        <w:rPr>
          <w:rStyle w:val="6"/>
          <w:rFonts w:hint="eastAsia" w:ascii="仿宋" w:hAnsi="仿宋" w:eastAsia="仿宋" w:cs="仿宋"/>
          <w:i w:val="0"/>
          <w:caps w:val="0"/>
          <w:color w:val="333333"/>
          <w:spacing w:val="0"/>
          <w:sz w:val="19"/>
          <w:szCs w:val="19"/>
          <w:bdr w:val="none" w:color="auto" w:sz="0" w:space="0"/>
          <w:shd w:val="clear" w:fill="FFFFFF"/>
        </w:rPr>
        <w:t>(非专项计划)</w:t>
      </w:r>
    </w:p>
    <w:tbl>
      <w:tblPr>
        <w:tblW w:w="6670" w:type="dxa"/>
        <w:tblInd w:w="0" w:type="dxa"/>
        <w:shd w:val="clear"/>
        <w:tblLayout w:type="autofit"/>
        <w:tblCellMar>
          <w:top w:w="0" w:type="dxa"/>
          <w:left w:w="0" w:type="dxa"/>
          <w:bottom w:w="0" w:type="dxa"/>
          <w:right w:w="0" w:type="dxa"/>
        </w:tblCellMar>
      </w:tblPr>
      <w:tblGrid>
        <w:gridCol w:w="500"/>
        <w:gridCol w:w="1350"/>
        <w:gridCol w:w="860"/>
        <w:gridCol w:w="2062"/>
        <w:gridCol w:w="997"/>
        <w:gridCol w:w="901"/>
      </w:tblGrid>
      <w:tr>
        <w:tblPrEx>
          <w:shd w:val="clear"/>
          <w:tblCellMar>
            <w:top w:w="0" w:type="dxa"/>
            <w:left w:w="0" w:type="dxa"/>
            <w:bottom w:w="0" w:type="dxa"/>
            <w:right w:w="0" w:type="dxa"/>
          </w:tblCellMar>
        </w:tblPrEx>
        <w:trPr>
          <w:trHeight w:val="450" w:hRule="atLeast"/>
        </w:trPr>
        <w:tc>
          <w:tcPr>
            <w:tcW w:w="4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院系代码</w:t>
            </w:r>
          </w:p>
        </w:tc>
        <w:tc>
          <w:tcPr>
            <w:tcW w:w="1350" w:type="dxa"/>
            <w:tcBorders>
              <w:top w:val="single" w:color="auto" w:sz="4" w:space="0"/>
              <w:left w:val="nil"/>
              <w:bottom w:val="single" w:color="auto" w:sz="4" w:space="0"/>
              <w:right w:val="single" w:color="auto"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院系名称</w:t>
            </w:r>
          </w:p>
        </w:tc>
        <w:tc>
          <w:tcPr>
            <w:tcW w:w="6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专业代码</w:t>
            </w:r>
          </w:p>
        </w:tc>
        <w:tc>
          <w:tcPr>
            <w:tcW w:w="23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专业名称</w:t>
            </w:r>
          </w:p>
        </w:tc>
        <w:tc>
          <w:tcPr>
            <w:tcW w:w="9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  全日制    调剂缺额</w:t>
            </w:r>
          </w:p>
        </w:tc>
        <w:tc>
          <w:tcPr>
            <w:tcW w:w="9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 非全日制  调剂缺额</w:t>
            </w:r>
          </w:p>
        </w:tc>
      </w:tr>
      <w:tr>
        <w:tblPrEx>
          <w:shd w:val="clear"/>
          <w:tblCellMar>
            <w:top w:w="0" w:type="dxa"/>
            <w:left w:w="0" w:type="dxa"/>
            <w:bottom w:w="0" w:type="dxa"/>
            <w:right w:w="0" w:type="dxa"/>
          </w:tblCellMar>
        </w:tblPrEx>
        <w:trPr>
          <w:trHeight w:val="271" w:hRule="atLeast"/>
        </w:trPr>
        <w:tc>
          <w:tcPr>
            <w:tcW w:w="430" w:type="dxa"/>
            <w:vMerge w:val="restart"/>
            <w:tcBorders>
              <w:top w:val="nil"/>
              <w:left w:val="single" w:color="auto" w:sz="4" w:space="0"/>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001</w:t>
            </w:r>
          </w:p>
        </w:tc>
        <w:tc>
          <w:tcPr>
            <w:tcW w:w="135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法政系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035101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法律（非法学）</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1</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035102</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法律（法学）</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4</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035200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社会工作</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restart"/>
            <w:tcBorders>
              <w:top w:val="nil"/>
              <w:left w:val="single" w:color="auto" w:sz="4" w:space="0"/>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003</w:t>
            </w:r>
          </w:p>
        </w:tc>
        <w:tc>
          <w:tcPr>
            <w:tcW w:w="135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英语系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050201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英语语言文学</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5</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055101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英语笔译</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restart"/>
            <w:tcBorders>
              <w:top w:val="nil"/>
              <w:left w:val="single" w:color="auto" w:sz="4" w:space="0"/>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004</w:t>
            </w:r>
          </w:p>
        </w:tc>
        <w:tc>
          <w:tcPr>
            <w:tcW w:w="135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数理系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070100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数学</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2</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070200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物理学</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3</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025200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应用统计</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085408</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光电信息工程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8</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restart"/>
            <w:tcBorders>
              <w:top w:val="nil"/>
              <w:left w:val="single" w:color="auto" w:sz="4" w:space="0"/>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005</w:t>
            </w:r>
          </w:p>
        </w:tc>
        <w:tc>
          <w:tcPr>
            <w:tcW w:w="135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机械工程系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080200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机械工程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17</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085501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机械工程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085601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材料工程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6</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125603</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工业工程与管理</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tblCellMar>
            <w:top w:w="0" w:type="dxa"/>
            <w:left w:w="0" w:type="dxa"/>
            <w:bottom w:w="0" w:type="dxa"/>
            <w:right w:w="0" w:type="dxa"/>
          </w:tblCellMar>
        </w:tblPrEx>
        <w:trPr>
          <w:trHeight w:val="271" w:hRule="atLeast"/>
        </w:trPr>
        <w:tc>
          <w:tcPr>
            <w:tcW w:w="430" w:type="dxa"/>
            <w:vMerge w:val="restart"/>
            <w:tcBorders>
              <w:top w:val="nil"/>
              <w:left w:val="single" w:color="auto" w:sz="4" w:space="0"/>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006</w:t>
            </w:r>
          </w:p>
        </w:tc>
        <w:tc>
          <w:tcPr>
            <w:tcW w:w="135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动力工程系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081404</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供热、供燃气、通风及空调工程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6</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0807J1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储能科学与工程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2</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085802</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动力工程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085808</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储能技术</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restart"/>
            <w:tcBorders>
              <w:top w:val="nil"/>
              <w:left w:val="single" w:color="auto" w:sz="4" w:space="0"/>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007</w:t>
            </w:r>
          </w:p>
        </w:tc>
        <w:tc>
          <w:tcPr>
            <w:tcW w:w="135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电力工程系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085801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电气工程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082804</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农业电气化与自动化</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2</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080900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电子科学与技术</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2</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008</w:t>
            </w:r>
          </w:p>
        </w:tc>
        <w:tc>
          <w:tcPr>
            <w:tcW w:w="13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电子与通信工程系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085402</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通信工程（含宽带网络、移动通信等）</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009</w:t>
            </w:r>
          </w:p>
        </w:tc>
        <w:tc>
          <w:tcPr>
            <w:tcW w:w="13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自动化系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085406</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控制工程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restart"/>
            <w:tcBorders>
              <w:top w:val="nil"/>
              <w:left w:val="single" w:color="auto" w:sz="4" w:space="0"/>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010</w:t>
            </w:r>
          </w:p>
        </w:tc>
        <w:tc>
          <w:tcPr>
            <w:tcW w:w="135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计算机系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085404</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计算机技术</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085405</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软件工程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restart"/>
            <w:tcBorders>
              <w:top w:val="nil"/>
              <w:left w:val="single" w:color="auto" w:sz="4" w:space="0"/>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011</w:t>
            </w:r>
          </w:p>
        </w:tc>
        <w:tc>
          <w:tcPr>
            <w:tcW w:w="135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环境科学与工程系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081700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化学工程与技术</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6</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083000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环境科学与工程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5</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085701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环境工程</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restart"/>
            <w:tcBorders>
              <w:top w:val="nil"/>
              <w:left w:val="single" w:color="auto" w:sz="4" w:space="0"/>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012</w:t>
            </w:r>
          </w:p>
        </w:tc>
        <w:tc>
          <w:tcPr>
            <w:tcW w:w="1350" w:type="dxa"/>
            <w:vMerge w:val="restart"/>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经济管理系</w:t>
            </w: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020200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应用经济学</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4</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025100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金融</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3</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120201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会计学</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2</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120202</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企业管理</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2</w:t>
            </w:r>
          </w:p>
        </w:tc>
        <w:tc>
          <w:tcPr>
            <w:tcW w:w="92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125300</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会计</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125601</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工程管理</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125603</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工业工程与管理</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r>
        <w:tblPrEx>
          <w:shd w:val="clear"/>
          <w:tblCellMar>
            <w:top w:w="0" w:type="dxa"/>
            <w:left w:w="0" w:type="dxa"/>
            <w:bottom w:w="0" w:type="dxa"/>
            <w:right w:w="0" w:type="dxa"/>
          </w:tblCellMar>
        </w:tblPrEx>
        <w:trPr>
          <w:trHeight w:val="271" w:hRule="atLeast"/>
        </w:trPr>
        <w:tc>
          <w:tcPr>
            <w:tcW w:w="430" w:type="dxa"/>
            <w:vMerge w:val="continue"/>
            <w:tcBorders>
              <w:top w:val="nil"/>
              <w:left w:val="single" w:color="auto" w:sz="4" w:space="0"/>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1350" w:type="dxa"/>
            <w:vMerge w:val="continue"/>
            <w:tcBorders>
              <w:top w:val="nil"/>
              <w:left w:val="nil"/>
              <w:bottom w:val="single" w:color="000000" w:sz="4" w:space="0"/>
              <w:right w:val="single" w:color="auto" w:sz="4" w:space="0"/>
            </w:tcBorders>
            <w:shd w:val="clear"/>
            <w:tcMar>
              <w:left w:w="70" w:type="dxa"/>
              <w:right w:w="70" w:type="dxa"/>
            </w:tcMar>
            <w:vAlign w:val="center"/>
          </w:tcPr>
          <w:p>
            <w:pPr>
              <w:rPr>
                <w:rFonts w:hint="eastAsia" w:ascii="宋体"/>
                <w:sz w:val="24"/>
                <w:szCs w:val="24"/>
              </w:rPr>
            </w:pPr>
          </w:p>
        </w:tc>
        <w:tc>
          <w:tcPr>
            <w:tcW w:w="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125604</w:t>
            </w:r>
          </w:p>
        </w:tc>
        <w:tc>
          <w:tcPr>
            <w:tcW w:w="23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物流工程与管理</w:t>
            </w:r>
          </w:p>
        </w:tc>
        <w:tc>
          <w:tcPr>
            <w:tcW w:w="94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c>
          <w:tcPr>
            <w:tcW w:w="9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有缺额</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50" w:lineRule="atLeast"/>
        <w:ind w:left="0" w:right="0" w:firstLine="420"/>
        <w:jc w:val="left"/>
      </w:pPr>
      <w:r>
        <w:rPr>
          <w:rStyle w:val="6"/>
          <w:rFonts w:hint="eastAsia" w:ascii="仿宋" w:hAnsi="仿宋" w:eastAsia="仿宋" w:cs="仿宋"/>
          <w:i w:val="0"/>
          <w:caps w:val="0"/>
          <w:color w:val="333333"/>
          <w:spacing w:val="0"/>
          <w:sz w:val="16"/>
          <w:szCs w:val="16"/>
          <w:bdr w:val="none" w:color="auto" w:sz="0" w:space="0"/>
          <w:shd w:val="clear" w:fill="FFFFFF"/>
        </w:rPr>
        <w:t>附件二：院系联系方式</w:t>
      </w:r>
    </w:p>
    <w:tbl>
      <w:tblPr>
        <w:tblW w:w="6550" w:type="dxa"/>
        <w:tblInd w:w="0" w:type="dxa"/>
        <w:shd w:val="clear"/>
        <w:tblLayout w:type="autofit"/>
        <w:tblCellMar>
          <w:top w:w="0" w:type="dxa"/>
          <w:left w:w="0" w:type="dxa"/>
          <w:bottom w:w="0" w:type="dxa"/>
          <w:right w:w="0" w:type="dxa"/>
        </w:tblCellMar>
      </w:tblPr>
      <w:tblGrid>
        <w:gridCol w:w="1284"/>
        <w:gridCol w:w="1560"/>
        <w:gridCol w:w="706"/>
        <w:gridCol w:w="1580"/>
        <w:gridCol w:w="1420"/>
      </w:tblGrid>
      <w:tr>
        <w:tblPrEx>
          <w:tblCellMar>
            <w:top w:w="0" w:type="dxa"/>
            <w:left w:w="0" w:type="dxa"/>
            <w:bottom w:w="0" w:type="dxa"/>
            <w:right w:w="0" w:type="dxa"/>
          </w:tblCellMar>
        </w:tblPrEx>
        <w:trPr>
          <w:trHeight w:val="271" w:hRule="atLeast"/>
        </w:trPr>
        <w:tc>
          <w:tcPr>
            <w:tcW w:w="13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院系名称</w:t>
            </w:r>
          </w:p>
        </w:tc>
        <w:tc>
          <w:tcPr>
            <w:tcW w:w="16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院系办公地点</w:t>
            </w:r>
          </w:p>
        </w:tc>
        <w:tc>
          <w:tcPr>
            <w:tcW w:w="7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联系人</w:t>
            </w:r>
          </w:p>
        </w:tc>
        <w:tc>
          <w:tcPr>
            <w:tcW w:w="12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办公电话</w:t>
            </w:r>
          </w:p>
        </w:tc>
        <w:tc>
          <w:tcPr>
            <w:tcW w:w="15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Style w:val="6"/>
                <w:rFonts w:hint="eastAsia" w:ascii="仿宋" w:hAnsi="仿宋" w:eastAsia="仿宋" w:cs="仿宋"/>
                <w:bdr w:val="none" w:color="auto" w:sz="0" w:space="0"/>
              </w:rPr>
              <w:t>院系网址链接链接</w:t>
            </w:r>
          </w:p>
        </w:tc>
      </w:tr>
      <w:tr>
        <w:tblPrEx>
          <w:shd w:val="clear"/>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法政系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二校区教八楼B座304</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陈老师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0312-7525172</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"https://dlp.ncepu.edu.cn/"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shd w:val="clear"/>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马克思主义学院</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二校区教八楼B座402</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锅老师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0312-7525398</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"https://smarx.ncepu.edu.cn/"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英语系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二校区教十一楼D205</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袁老师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0312-7525142</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"https://yyx.ncepu.edu.cn/"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shd w:val="clear"/>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数理系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二校区教七楼203</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张老师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0312-7525068</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"https://shlx.ncepu.edu.cn/"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shd w:val="clear"/>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机械工程系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二校区教八楼A座205B</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李老师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0312-7525408</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"https://dme.ncepu.edu.cn/"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shd w:val="clear"/>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动力工程系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一校区教四楼217</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赵老师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0312-7522243</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"https://pe.ncepu.edu.cn/"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shd w:val="clear"/>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电力工程系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一校区教一楼229</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张老师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0312-7522581</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"https://ee.ncepu.edu.cn/"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shd w:val="clear"/>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电子与通信工程系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一校区教三楼319</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黄老师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0312-7522524</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"https://dece.ncepu.edu.cn/"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shd w:val="clear"/>
          <w:tblCellMar>
            <w:top w:w="0" w:type="dxa"/>
            <w:left w:w="0" w:type="dxa"/>
            <w:bottom w:w="0" w:type="dxa"/>
            <w:right w:w="0" w:type="dxa"/>
          </w:tblCellMar>
        </w:tblPrEx>
        <w:trPr>
          <w:trHeight w:val="420"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自动化系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一校区自动化楼303</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陶老师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0312-7523363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0312-7522164</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"https://zdh.ncepu.edu.cn/"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tblCellMar>
            <w:top w:w="0" w:type="dxa"/>
            <w:left w:w="0" w:type="dxa"/>
            <w:bottom w:w="0" w:type="dxa"/>
            <w:right w:w="0" w:type="dxa"/>
          </w:tblCellMar>
        </w:tblPrEx>
        <w:trPr>
          <w:trHeight w:val="31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计算机系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二校区教十楼A209</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王老师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0312-7525270</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"https://cs.ncepu.edu.cn/"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shd w:val="clear"/>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环境科学与工程系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二校区实验综合楼A203</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倪老师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0312-7525505</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"https://ese.ncepu.edu.cn/"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r>
        <w:tblPrEx>
          <w:shd w:val="clear"/>
          <w:tblCellMar>
            <w:top w:w="0" w:type="dxa"/>
            <w:left w:w="0" w:type="dxa"/>
            <w:bottom w:w="0" w:type="dxa"/>
            <w:right w:w="0" w:type="dxa"/>
          </w:tblCellMar>
        </w:tblPrEx>
        <w:trPr>
          <w:trHeight w:val="301" w:hRule="atLeast"/>
        </w:trPr>
        <w:tc>
          <w:tcPr>
            <w:tcW w:w="138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经济管理系</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二校区教六楼303</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滕老师</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bdr w:val="none" w:color="auto" w:sz="0" w:space="0"/>
              </w:rPr>
              <w:t>0312-7525123</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256EB1"/>
                <w:u w:val="none"/>
                <w:bdr w:val="none" w:color="auto" w:sz="0" w:space="0"/>
              </w:rPr>
              <w:fldChar w:fldCharType="begin"/>
            </w:r>
            <w:r>
              <w:rPr>
                <w:rFonts w:hint="eastAsia" w:ascii="仿宋" w:hAnsi="仿宋" w:eastAsia="仿宋" w:cs="仿宋"/>
                <w:color w:val="256EB1"/>
                <w:u w:val="none"/>
                <w:bdr w:val="none" w:color="auto" w:sz="0" w:space="0"/>
              </w:rPr>
              <w:instrText xml:space="preserve"> HYPERLINK "https://jg.ncepu.edu.cn/" </w:instrText>
            </w:r>
            <w:r>
              <w:rPr>
                <w:rFonts w:hint="eastAsia" w:ascii="仿宋" w:hAnsi="仿宋" w:eastAsia="仿宋" w:cs="仿宋"/>
                <w:color w:val="256EB1"/>
                <w:u w:val="none"/>
                <w:bdr w:val="none" w:color="auto" w:sz="0" w:space="0"/>
              </w:rPr>
              <w:fldChar w:fldCharType="separate"/>
            </w:r>
            <w:r>
              <w:rPr>
                <w:rStyle w:val="7"/>
                <w:rFonts w:hint="eastAsia" w:ascii="仿宋" w:hAnsi="仿宋" w:eastAsia="仿宋" w:cs="仿宋"/>
                <w:color w:val="256EB1"/>
                <w:u w:val="none"/>
                <w:bdr w:val="none" w:color="auto" w:sz="0" w:space="0"/>
              </w:rPr>
              <w:t>点击进入</w:t>
            </w:r>
            <w:r>
              <w:rPr>
                <w:rFonts w:hint="eastAsia" w:ascii="仿宋" w:hAnsi="仿宋" w:eastAsia="仿宋" w:cs="仿宋"/>
                <w:color w:val="256EB1"/>
                <w:u w:val="none"/>
                <w:bdr w:val="none" w:color="auto" w:sz="0" w:space="0"/>
              </w:rPr>
              <w:fldChar w:fldCharType="end"/>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E820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2023-05-19T01:09:53Z</dcterms:created>
  <dc:creator>86188</dc:creator>
  <cp:lastModifiedBy>随风而动</cp:lastModifiedBy>
  <dcterms:modified xsi:type="dcterms:W3CDTF">2023-05-19T01:09:55Z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