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Layout w:type="autofit"/>
        <w:tblCellMar>
          <w:top w:w="0" w:type="dxa"/>
          <w:left w:w="0" w:type="dxa"/>
          <w:bottom w:w="0" w:type="dxa"/>
          <w:right w:w="0" w:type="dxa"/>
        </w:tblCellMar>
      </w:tblPr>
      <w:tblGrid>
        <w:gridCol w:w="9715"/>
        <w:gridCol w:w="422"/>
        <w:gridCol w:w="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CellMar>
            <w:top w:w="0" w:type="dxa"/>
            <w:left w:w="0" w:type="dxa"/>
            <w:bottom w:w="0" w:type="dxa"/>
            <w:right w:w="0" w:type="dxa"/>
          </w:tblCellMar>
        </w:tblPrEx>
        <w:trPr>
          <w:gridAfter w:val="1"/>
          <w:trHeight w:val="241" w:hRule="atLeast"/>
          <w:jc w:val="center"/>
        </w:trPr>
        <w:tc>
          <w:tcPr>
            <w:tcW w:w="4600" w:type="pct"/>
            <w:shd w:val="clear" w:color="auto" w:fill="3CB000"/>
            <w:vAlign w:val="center"/>
          </w:tcPr>
          <w:p>
            <w:pPr>
              <w:keepNext w:val="0"/>
              <w:keepLines w:val="0"/>
              <w:widowControl/>
              <w:suppressLineNumbers w:val="0"/>
              <w:wordWrap w:val="0"/>
              <w:spacing w:line="240" w:lineRule="atLeast"/>
              <w:jc w:val="center"/>
              <w:rPr>
                <w:rFonts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b/>
                <w:bCs/>
                <w:i w:val="0"/>
                <w:iCs w:val="0"/>
                <w:caps w:val="0"/>
                <w:color w:val="333333"/>
                <w:spacing w:val="0"/>
                <w:kern w:val="0"/>
                <w:sz w:val="24"/>
                <w:szCs w:val="24"/>
                <w:u w:val="none"/>
                <w:lang w:val="en-US" w:eastAsia="zh-CN" w:bidi="ar"/>
              </w:rPr>
              <w:t>华南农业大学2023年调剂说明</w:t>
            </w:r>
          </w:p>
        </w:tc>
        <w:tc>
          <w:tcPr>
            <w:tcW w:w="200" w:type="pct"/>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CellMar>
            <w:top w:w="0" w:type="dxa"/>
            <w:left w:w="0" w:type="dxa"/>
            <w:bottom w:w="0" w:type="dxa"/>
            <w:right w:w="0" w:type="dxa"/>
          </w:tblCellMar>
        </w:tblPrEx>
        <w:trPr>
          <w:trHeight w:val="241" w:hRule="atLeast"/>
          <w:jc w:val="center"/>
        </w:trPr>
        <w:tc>
          <w:tcPr>
            <w:tcW w:w="0" w:type="auto"/>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c>
          <w:tcPr>
            <w:tcW w:w="0" w:type="auto"/>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c>
          <w:tcPr>
            <w:tcW w:w="0" w:type="auto"/>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CellMar>
            <w:top w:w="0" w:type="dxa"/>
            <w:left w:w="0" w:type="dxa"/>
            <w:bottom w:w="0" w:type="dxa"/>
            <w:right w:w="0" w:type="dxa"/>
          </w:tblCellMar>
        </w:tblPrEx>
        <w:trPr>
          <w:jc w:val="center"/>
        </w:trPr>
        <w:tc>
          <w:tcPr>
            <w:tcW w:w="0" w:type="auto"/>
            <w:gridSpan w:val="3"/>
            <w:shd w:val="clear" w:color="auto" w:fill="3CB000"/>
            <w:vAlign w:val="center"/>
          </w:tcPr>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17"/>
              <w:gridCol w:w="2640"/>
              <w:gridCol w:w="2640"/>
              <w:gridCol w:w="1584"/>
              <w:gridCol w:w="33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0" w:type="pct"/>
                  <w:shd w:val="clear"/>
                  <w:vAlign w:val="center"/>
                </w:tcPr>
                <w:p>
                  <w:pPr>
                    <w:rPr>
                      <w:rFonts w:hint="eastAsia" w:ascii="宋体"/>
                      <w:color w:val="333333"/>
                      <w:sz w:val="14"/>
                      <w:szCs w:val="14"/>
                      <w:u w:val="none"/>
                    </w:rPr>
                  </w:pPr>
                </w:p>
              </w:tc>
              <w:tc>
                <w:tcPr>
                  <w:tcW w:w="1250" w:type="pct"/>
                  <w:shd w:val="clear"/>
                  <w:vAlign w:val="center"/>
                </w:tcPr>
                <w:p>
                  <w:pPr>
                    <w:keepNext w:val="0"/>
                    <w:keepLines w:val="0"/>
                    <w:widowControl/>
                    <w:suppressLineNumbers w:val="0"/>
                    <w:wordWrap w:val="0"/>
                    <w:spacing w:line="240" w:lineRule="atLeast"/>
                    <w:jc w:val="left"/>
                    <w:rPr>
                      <w:color w:val="333333"/>
                      <w:sz w:val="14"/>
                      <w:szCs w:val="14"/>
                      <w:u w:val="none"/>
                    </w:rPr>
                  </w:pPr>
                  <w:r>
                    <w:rPr>
                      <w:rFonts w:ascii="宋体" w:hAnsi="宋体" w:eastAsia="宋体" w:cs="宋体"/>
                      <w:color w:val="333333"/>
                      <w:kern w:val="0"/>
                      <w:sz w:val="14"/>
                      <w:szCs w:val="14"/>
                      <w:u w:val="none"/>
                      <w:lang w:val="en-US" w:eastAsia="zh-CN" w:bidi="ar"/>
                    </w:rPr>
                    <w:t>作者:</w:t>
                  </w:r>
                </w:p>
              </w:tc>
              <w:tc>
                <w:tcPr>
                  <w:tcW w:w="1250" w:type="pct"/>
                  <w:shd w:val="clear"/>
                  <w:vAlign w:val="center"/>
                </w:tcPr>
                <w:p>
                  <w:pPr>
                    <w:keepNext w:val="0"/>
                    <w:keepLines w:val="0"/>
                    <w:widowControl/>
                    <w:suppressLineNumbers w:val="0"/>
                    <w:wordWrap w:val="0"/>
                    <w:spacing w:line="240" w:lineRule="atLeast"/>
                    <w:jc w:val="left"/>
                    <w:rPr>
                      <w:color w:val="333333"/>
                      <w:sz w:val="14"/>
                      <w:szCs w:val="14"/>
                      <w:u w:val="none"/>
                    </w:rPr>
                  </w:pPr>
                  <w:r>
                    <w:rPr>
                      <w:rFonts w:ascii="宋体" w:hAnsi="宋体" w:eastAsia="宋体" w:cs="宋体"/>
                      <w:color w:val="333333"/>
                      <w:kern w:val="0"/>
                      <w:sz w:val="14"/>
                      <w:szCs w:val="14"/>
                      <w:u w:val="none"/>
                      <w:lang w:val="en-US" w:eastAsia="zh-CN" w:bidi="ar"/>
                    </w:rPr>
                    <w:t>来源:研究生招生信息网</w:t>
                  </w:r>
                </w:p>
              </w:tc>
              <w:tc>
                <w:tcPr>
                  <w:tcW w:w="750" w:type="pct"/>
                  <w:shd w:val="clear"/>
                  <w:vAlign w:val="center"/>
                </w:tcPr>
                <w:p>
                  <w:pPr>
                    <w:keepNext w:val="0"/>
                    <w:keepLines w:val="0"/>
                    <w:widowControl/>
                    <w:suppressLineNumbers w:val="0"/>
                    <w:wordWrap w:val="0"/>
                    <w:spacing w:line="240" w:lineRule="atLeast"/>
                    <w:jc w:val="left"/>
                    <w:rPr>
                      <w:color w:val="333333"/>
                      <w:sz w:val="14"/>
                      <w:szCs w:val="14"/>
                      <w:u w:val="none"/>
                    </w:rPr>
                  </w:pPr>
                  <w:r>
                    <w:rPr>
                      <w:rFonts w:ascii="宋体" w:hAnsi="宋体" w:eastAsia="宋体" w:cs="宋体"/>
                      <w:color w:val="333333"/>
                      <w:kern w:val="0"/>
                      <w:sz w:val="14"/>
                      <w:szCs w:val="14"/>
                      <w:u w:val="none"/>
                      <w:lang w:val="en-US" w:eastAsia="zh-CN" w:bidi="ar"/>
                    </w:rPr>
                    <w:t>浏览数:43732</w:t>
                  </w:r>
                </w:p>
              </w:tc>
              <w:tc>
                <w:tcPr>
                  <w:tcW w:w="1600" w:type="pct"/>
                  <w:shd w:val="clear"/>
                  <w:vAlign w:val="center"/>
                </w:tcPr>
                <w:p>
                  <w:pPr>
                    <w:keepNext w:val="0"/>
                    <w:keepLines w:val="0"/>
                    <w:widowControl/>
                    <w:suppressLineNumbers w:val="0"/>
                    <w:wordWrap w:val="0"/>
                    <w:spacing w:line="240" w:lineRule="atLeast"/>
                    <w:jc w:val="left"/>
                    <w:rPr>
                      <w:color w:val="333333"/>
                      <w:sz w:val="14"/>
                      <w:szCs w:val="14"/>
                      <w:u w:val="none"/>
                    </w:rPr>
                  </w:pPr>
                  <w:r>
                    <w:rPr>
                      <w:rFonts w:ascii="宋体" w:hAnsi="宋体" w:eastAsia="宋体" w:cs="宋体"/>
                      <w:color w:val="333333"/>
                      <w:kern w:val="0"/>
                      <w:sz w:val="14"/>
                      <w:szCs w:val="14"/>
                      <w:u w:val="none"/>
                      <w:lang w:val="en-US" w:eastAsia="zh-CN" w:bidi="ar"/>
                    </w:rPr>
                    <w:t>录入:2023/04/04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5"/>
                  <w:shd w:val="clear"/>
                  <w:vAlign w:val="center"/>
                </w:tcPr>
                <w:p>
                  <w:pPr>
                    <w:rPr>
                      <w:rFonts w:hint="eastAsia" w:ascii="宋体"/>
                      <w:color w:val="333333"/>
                      <w:sz w:val="14"/>
                      <w:szCs w:val="14"/>
                      <w:u w:val="none"/>
                    </w:rPr>
                  </w:pPr>
                </w:p>
              </w:tc>
            </w:tr>
          </w:tbl>
          <w:p>
            <w:pPr>
              <w:wordWrap w:val="0"/>
              <w:spacing w:line="240" w:lineRule="atLeast"/>
              <w:rPr>
                <w:rFonts w:hint="eastAsia" w:ascii="微软雅黑" w:hAnsi="微软雅黑" w:eastAsia="微软雅黑" w:cs="微软雅黑"/>
                <w:i w:val="0"/>
                <w:iCs w:val="0"/>
                <w:caps w:val="0"/>
                <w:color w:val="333333"/>
                <w:spacing w:val="0"/>
                <w:sz w:val="14"/>
                <w:szCs w:val="1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CellMar>
            <w:top w:w="0" w:type="dxa"/>
            <w:left w:w="0" w:type="dxa"/>
            <w:bottom w:w="0" w:type="dxa"/>
            <w:right w:w="0" w:type="dxa"/>
          </w:tblCellMar>
        </w:tblPrEx>
        <w:trPr>
          <w:jc w:val="center"/>
        </w:trPr>
        <w:tc>
          <w:tcPr>
            <w:tcW w:w="0" w:type="auto"/>
            <w:gridSpan w:val="3"/>
            <w:shd w:val="clear" w:color="auto" w:fill="999999"/>
            <w:vAlign w:val="center"/>
          </w:tcPr>
          <w:p>
            <w:pPr>
              <w:rPr>
                <w:rFonts w:hint="eastAsia" w:ascii="微软雅黑" w:hAnsi="微软雅黑" w:eastAsia="微软雅黑" w:cs="微软雅黑"/>
                <w:i w:val="0"/>
                <w:iCs w:val="0"/>
                <w:caps w:val="0"/>
                <w:color w:val="333333"/>
                <w:spacing w:val="0"/>
                <w:sz w:val="14"/>
                <w:szCs w:val="1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CellMar>
            <w:top w:w="0" w:type="dxa"/>
            <w:left w:w="0" w:type="dxa"/>
            <w:bottom w:w="0" w:type="dxa"/>
            <w:right w:w="0" w:type="dxa"/>
          </w:tblCellMar>
        </w:tblPrEx>
        <w:trPr>
          <w:trHeight w:val="0" w:hRule="atLeast"/>
          <w:jc w:val="center"/>
        </w:trPr>
        <w:tc>
          <w:tcPr>
            <w:tcW w:w="0" w:type="auto"/>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c>
          <w:tcPr>
            <w:tcW w:w="0" w:type="auto"/>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c>
          <w:tcPr>
            <w:tcW w:w="0" w:type="auto"/>
            <w:shd w:val="clear" w:color="auto" w:fill="3CB000"/>
            <w:vAlign w:val="center"/>
          </w:tcPr>
          <w:p>
            <w:pPr>
              <w:rPr>
                <w:rFonts w:hint="eastAsia" w:ascii="微软雅黑" w:hAnsi="微软雅黑" w:eastAsia="微软雅黑" w:cs="微软雅黑"/>
                <w:i w:val="0"/>
                <w:iCs w:val="0"/>
                <w:caps w:val="0"/>
                <w:color w:val="333333"/>
                <w:spacing w:val="0"/>
                <w:sz w:val="14"/>
                <w:szCs w:val="1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3CB000"/>
          <w:tblCellMar>
            <w:top w:w="0" w:type="dxa"/>
            <w:left w:w="0" w:type="dxa"/>
            <w:bottom w:w="0" w:type="dxa"/>
            <w:right w:w="0" w:type="dxa"/>
          </w:tblCellMar>
        </w:tblPrEx>
        <w:trPr>
          <w:trHeight w:val="3001" w:hRule="atLeast"/>
          <w:jc w:val="center"/>
        </w:trPr>
        <w:tc>
          <w:tcPr>
            <w:tcW w:w="0" w:type="auto"/>
            <w:gridSpan w:val="3"/>
            <w:shd w:val="clear" w:color="auto" w:fill="3CB000"/>
            <w:vAlign w:val="center"/>
          </w:tcPr>
          <w:tbl>
            <w:tblPr>
              <w:tblW w:w="49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0" w:type="auto"/>
                  <w:shd w:val="clear"/>
                  <w:vAlign w:val="center"/>
                </w:tcPr>
                <w:p>
                  <w:pPr>
                    <w:keepNext w:val="0"/>
                    <w:keepLines w:val="0"/>
                    <w:widowControl/>
                    <w:suppressLineNumbers w:val="0"/>
                    <w:wordWrap w:val="0"/>
                    <w:spacing w:line="240" w:lineRule="atLeast"/>
                    <w:jc w:val="left"/>
                    <w:rPr>
                      <w:color w:val="333333"/>
                      <w:sz w:val="14"/>
                      <w:szCs w:val="14"/>
                      <w:u w:val="none"/>
                    </w:rPr>
                  </w:pPr>
                  <w:r>
                    <w:rPr>
                      <w:rFonts w:ascii="宋体" w:hAnsi="宋体" w:eastAsia="宋体" w:cs="宋体"/>
                      <w:color w:val="333333"/>
                      <w:kern w:val="0"/>
                      <w:sz w:val="14"/>
                      <w:szCs w:val="14"/>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wordWrap w:val="0"/>
                    <w:spacing w:before="0" w:beforeAutospacing="1" w:after="0" w:afterAutospacing="1" w:line="480" w:lineRule="atLeast"/>
                    <w:ind w:left="0" w:right="0" w:firstLine="516"/>
                    <w:jc w:val="left"/>
                  </w:pPr>
                  <w:r>
                    <w:rPr>
                      <w:rFonts w:ascii="仿宋_gb2312" w:hAnsi="仿宋_gb2312" w:eastAsia="仿宋_gb2312" w:cs="仿宋_gb2312"/>
                      <w:color w:val="333333"/>
                      <w:kern w:val="0"/>
                      <w:sz w:val="25"/>
                      <w:szCs w:val="25"/>
                      <w:u w:val="none"/>
                      <w:lang w:val="en-US" w:eastAsia="zh-CN" w:bidi="ar"/>
                    </w:rPr>
                    <w:t>根据教育部相关文件精神，按照《华南农业大学</w:t>
                  </w:r>
                  <w:r>
                    <w:rPr>
                      <w:rFonts w:hint="default" w:ascii="仿宋_gb2312" w:hAnsi="仿宋_gb2312" w:eastAsia="仿宋_gb2312" w:cs="仿宋_gb2312"/>
                      <w:color w:val="333333"/>
                      <w:kern w:val="0"/>
                      <w:sz w:val="25"/>
                      <w:szCs w:val="25"/>
                      <w:u w:val="none"/>
                      <w:lang w:val="en-US" w:eastAsia="zh-CN" w:bidi="ar"/>
                    </w:rPr>
                    <w:t>2023年硕士研究生招生简章》和《华南农业大学2023年硕士研究生招生复试及录取办法》，对我校2023年硕士生调剂工作做如下说明：</w:t>
                  </w:r>
                </w:p>
                <w:p>
                  <w:pPr>
                    <w:keepNext w:val="0"/>
                    <w:keepLines w:val="0"/>
                    <w:widowControl/>
                    <w:suppressLineNumbers w:val="0"/>
                    <w:wordWrap w:val="0"/>
                    <w:spacing w:before="0" w:beforeAutospacing="1" w:after="0" w:afterAutospacing="1" w:line="480" w:lineRule="atLeast"/>
                    <w:ind w:left="0" w:right="0" w:firstLine="516"/>
                    <w:jc w:val="left"/>
                  </w:pPr>
                  <w:r>
                    <w:rPr>
                      <w:rFonts w:ascii="黑体" w:hAnsi="宋体" w:eastAsia="黑体" w:cs="黑体"/>
                      <w:color w:val="333333"/>
                      <w:kern w:val="0"/>
                      <w:sz w:val="25"/>
                      <w:szCs w:val="25"/>
                      <w:u w:val="none"/>
                      <w:lang w:val="en-US" w:eastAsia="zh-CN" w:bidi="ar"/>
                    </w:rPr>
                    <w:t>一、调剂对象</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1.第一志愿报考我校，已达到原报考专业国家A类线未达到我校自划线的考生或在原报考专业未通过复试的考生。</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2.非第一志愿报考华南农业大学，已达到原报考专业国家A类线的考生。</w:t>
                  </w:r>
                </w:p>
                <w:p>
                  <w:pPr>
                    <w:keepNext w:val="0"/>
                    <w:keepLines w:val="0"/>
                    <w:widowControl/>
                    <w:suppressLineNumbers w:val="0"/>
                    <w:wordWrap w:val="0"/>
                    <w:spacing w:before="0" w:beforeAutospacing="1" w:after="0" w:afterAutospacing="1" w:line="480" w:lineRule="atLeast"/>
                    <w:ind w:left="0" w:right="0" w:firstLine="516"/>
                    <w:jc w:val="left"/>
                  </w:pPr>
                  <w:r>
                    <w:rPr>
                      <w:rFonts w:hint="eastAsia" w:ascii="黑体" w:hAnsi="宋体" w:eastAsia="黑体" w:cs="黑体"/>
                      <w:color w:val="333333"/>
                      <w:kern w:val="0"/>
                      <w:sz w:val="25"/>
                      <w:szCs w:val="25"/>
                      <w:u w:val="none"/>
                      <w:lang w:val="en-US" w:eastAsia="zh-CN" w:bidi="ar"/>
                    </w:rPr>
                    <w:t>二、调剂基本原则</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1.所有调剂程序均需通过全国硕士研究生招生调剂服务系统完成。</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2.对申请同一专业、初试科目完全相同的调剂考生，须按考生初试成绩择优确定进入复试的考生名单。</w:t>
                  </w:r>
                </w:p>
                <w:p>
                  <w:pPr>
                    <w:keepNext w:val="0"/>
                    <w:keepLines w:val="0"/>
                    <w:widowControl/>
                    <w:suppressLineNumbers w:val="0"/>
                    <w:wordWrap w:val="0"/>
                    <w:spacing w:before="0" w:beforeAutospacing="1" w:after="0" w:afterAutospacing="1" w:line="480" w:lineRule="atLeast"/>
                    <w:ind w:left="0" w:right="0" w:firstLine="516"/>
                    <w:jc w:val="left"/>
                  </w:pPr>
                  <w:r>
                    <w:rPr>
                      <w:rFonts w:hint="eastAsia" w:ascii="黑体" w:hAnsi="宋体" w:eastAsia="黑体" w:cs="黑体"/>
                      <w:color w:val="333333"/>
                      <w:kern w:val="0"/>
                      <w:sz w:val="25"/>
                      <w:szCs w:val="25"/>
                      <w:u w:val="none"/>
                      <w:lang w:val="en-US" w:eastAsia="zh-CN" w:bidi="ar"/>
                    </w:rPr>
                    <w:t>三、考生调剂基本条件</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1.符合调入专业的报考条件和初试成绩基本要求。</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2.初试成绩符合第一志愿报考专业的我校初试成绩基本要求和全国初试成绩基本要求。</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3.调入专业与第一志愿报考专业相同或相近，应在同一学科门类范围内。</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4.初试科目与调入专业初试科目相同或相近，其中初试全国统一命题科目应与调入专业全国统一命题科目相同。设置统考数学的专业除遵循上述原则外，考生应有统考数学成绩，且按数学一、二、三顺调。</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5.符合教育部调剂政策的其他条件要求（详见《2023年全国硕士研究生招生工作管理规定》第六十二条）。</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6.拟调剂考生还须符合学院其他有关要求。</w:t>
                  </w:r>
                </w:p>
                <w:p>
                  <w:pPr>
                    <w:keepNext w:val="0"/>
                    <w:keepLines w:val="0"/>
                    <w:widowControl/>
                    <w:suppressLineNumbers w:val="0"/>
                    <w:wordWrap w:val="0"/>
                    <w:spacing w:before="0" w:beforeAutospacing="1" w:after="0" w:afterAutospacing="1" w:line="480" w:lineRule="atLeast"/>
                    <w:ind w:left="0" w:right="0" w:firstLine="516"/>
                    <w:jc w:val="left"/>
                  </w:pPr>
                  <w:r>
                    <w:rPr>
                      <w:rFonts w:hint="eastAsia" w:ascii="黑体" w:hAnsi="宋体" w:eastAsia="黑体" w:cs="黑体"/>
                      <w:color w:val="333333"/>
                      <w:kern w:val="0"/>
                      <w:sz w:val="25"/>
                      <w:szCs w:val="25"/>
                      <w:u w:val="none"/>
                      <w:lang w:val="en-US" w:eastAsia="zh-CN" w:bidi="ar"/>
                    </w:rPr>
                    <w:t>四、调剂专业与教育部调剂系统开放时间</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我校各学院将根据工作安排，相继开放教育部调剂服务系统。学院开放调剂系统前，会在学院网站公布接受调剂专业、调剂系统开放时间等信息请考生注意拟报考学院网站调剂相关通知，并在规定时间内填报调剂志愿。</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相关信息详见各学院网站通知。</w:t>
                  </w:r>
                </w:p>
                <w:p>
                  <w:pPr>
                    <w:keepNext w:val="0"/>
                    <w:keepLines w:val="0"/>
                    <w:widowControl/>
                    <w:suppressLineNumbers w:val="0"/>
                    <w:wordWrap w:val="0"/>
                    <w:spacing w:before="0" w:beforeAutospacing="1" w:after="0" w:afterAutospacing="1" w:line="480" w:lineRule="atLeast"/>
                    <w:ind w:left="0" w:right="0" w:firstLine="516"/>
                    <w:jc w:val="left"/>
                  </w:pPr>
                  <w:r>
                    <w:rPr>
                      <w:rFonts w:hint="eastAsia" w:ascii="黑体" w:hAnsi="宋体" w:eastAsia="黑体" w:cs="黑体"/>
                      <w:color w:val="333333"/>
                      <w:kern w:val="0"/>
                      <w:sz w:val="25"/>
                      <w:szCs w:val="25"/>
                      <w:u w:val="none"/>
                      <w:lang w:val="en-US" w:eastAsia="zh-CN" w:bidi="ar"/>
                    </w:rPr>
                    <w:t>五、调剂程序</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1.我校在中国研究生招生信息网(http://yz.chsi.cn或http://yz.chsi.com.cn)按学院开通调剂系统志愿填报，每个专业每次开放调剂系统持续时间不低于12个小时。</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2.考生在学院规定时间内登录中国研究生招生信息网，按要求填报调剂志愿。所有调剂考生，均需通过“全国硕士生招生调剂服务系统”完成调剂、复试、拟录取的相关程序，未申请注册调剂的一律无效。</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3.学院工作人员在中国研究生招生信息网上对考生发放复试通知。</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4.考生在各学院规定时间内登录中国研究生招生信息网确认同意参加我校复试，未在规定时间回复，即视为放弃。</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5.考生按要求在规定的时间内，在学信网“远程面试系统”上传资格审查材料，参加我校正式复试（复试方式为线下复试）。相关要求见各学院复试工作细则及学院相关通知。</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6.复试结束后，我校将根据考生初试成绩和复试成绩进行综合排名，确定是否待录取，并在中国研究生招生信息网对通过复试的考生发放待录取通知。</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7.考生必须在我校规定时间内登录中国研究生招生信息网确认同意待录取。未在规定时间内接收“待录取通知”的考生，视为放弃录取。</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8.考生在硕士生调剂服务系统上确认同意待录取后，还须经学校研究生招生工作领导小组审查后报上级部门审批。</w:t>
                  </w:r>
                </w:p>
                <w:p>
                  <w:pPr>
                    <w:keepNext w:val="0"/>
                    <w:keepLines w:val="0"/>
                    <w:widowControl/>
                    <w:suppressLineNumbers w:val="0"/>
                    <w:wordWrap w:val="0"/>
                    <w:spacing w:before="0" w:beforeAutospacing="1" w:after="0" w:afterAutospacing="1" w:line="480" w:lineRule="atLeast"/>
                    <w:ind w:left="0" w:right="0" w:firstLine="516"/>
                    <w:jc w:val="left"/>
                  </w:pPr>
                  <w:r>
                    <w:rPr>
                      <w:rFonts w:hint="eastAsia" w:ascii="黑体" w:hAnsi="宋体" w:eastAsia="黑体" w:cs="黑体"/>
                      <w:color w:val="333333"/>
                      <w:kern w:val="0"/>
                      <w:sz w:val="25"/>
                      <w:szCs w:val="25"/>
                      <w:u w:val="none"/>
                      <w:lang w:val="en-US" w:eastAsia="zh-CN" w:bidi="ar"/>
                    </w:rPr>
                    <w:t>六、需调剂的专业</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2023年我校预计在以下专业招收调剂考生（见下表），正式调剂专业将根据第一志愿考生复试情况调整，以教育部系统开通为准。</w:t>
                  </w:r>
                </w:p>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w:t>
                  </w:r>
                </w:p>
                <w:tbl>
                  <w:tblPr>
                    <w:tblW w:w="0" w:type="auto"/>
                    <w:tblInd w:w="795"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532"/>
                    <w:gridCol w:w="279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Style w:val="4"/>
                            <w:rFonts w:asciiTheme="minorHAnsi" w:hAnsiTheme="minorHAnsi" w:eastAsiaTheme="minorEastAsia" w:cstheme="minorBidi"/>
                            <w:color w:val="000000"/>
                            <w:kern w:val="0"/>
                            <w:sz w:val="18"/>
                            <w:szCs w:val="18"/>
                            <w:u w:val="none"/>
                            <w:lang w:val="en-US" w:eastAsia="zh-CN" w:bidi="ar"/>
                          </w:rPr>
                          <w:t>招生学院</w:t>
                        </w:r>
                      </w:p>
                    </w:tc>
                    <w:tc>
                      <w:tcPr>
                        <w:tcW w:w="279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Style w:val="4"/>
                            <w:rFonts w:asciiTheme="minorHAnsi" w:hAnsiTheme="minorHAnsi" w:eastAsiaTheme="minorEastAsia" w:cstheme="minorBidi"/>
                            <w:color w:val="000000"/>
                            <w:kern w:val="0"/>
                            <w:sz w:val="18"/>
                            <w:szCs w:val="18"/>
                            <w:u w:val="none"/>
                            <w:lang w:val="en-US" w:eastAsia="zh-CN" w:bidi="ar"/>
                          </w:rPr>
                          <w:t>招生专业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材料与能源学院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081700|化学工程与技术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材料与能源学院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082900|林业工程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材料与能源学院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085601|材料工程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材料与能源学院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085602|化学工程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材料与能源学院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085605|林业工程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电子工程学院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080300|光学工程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电子工程学院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081000|信息与通信工程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电子工程学院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082800|农业工程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动物科学学院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090504|特种经济动物饲养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海洋学院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095134|渔业发展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林学与风景园林学院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090900|草学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林学与风景园林学院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095131|农艺与种业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资源环境学院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071300|生态学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资源环境学院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085704|测绘工程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资源环境学院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090302|植物营养学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数学与信息学院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070100|数学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植物保护学院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095132|资源利用与植物保护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25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水利土木工程学院</w:t>
                        </w:r>
                      </w:p>
                    </w:tc>
                    <w:tc>
                      <w:tcPr>
                        <w:tcW w:w="27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40" w:lineRule="atLeast"/>
                          <w:ind w:left="0" w:right="0"/>
                          <w:jc w:val="center"/>
                        </w:pPr>
                        <w:r>
                          <w:rPr>
                            <w:rFonts w:asciiTheme="minorHAnsi" w:hAnsiTheme="minorHAnsi" w:eastAsiaTheme="minorEastAsia" w:cstheme="minorBidi"/>
                            <w:color w:val="000000"/>
                            <w:kern w:val="0"/>
                            <w:sz w:val="18"/>
                            <w:szCs w:val="18"/>
                            <w:u w:val="none"/>
                            <w:lang w:val="en-US" w:eastAsia="zh-CN" w:bidi="ar"/>
                          </w:rPr>
                          <w:t>082800|农业工程</w:t>
                        </w:r>
                      </w:p>
                    </w:tc>
                  </w:tr>
                </w:tbl>
                <w:p>
                  <w:pPr>
                    <w:keepNext w:val="0"/>
                    <w:keepLines w:val="0"/>
                    <w:widowControl/>
                    <w:suppressLineNumbers w:val="0"/>
                    <w:wordWrap w:val="0"/>
                    <w:spacing w:before="0" w:beforeAutospacing="1" w:after="0" w:afterAutospacing="1" w:line="480" w:lineRule="atLeast"/>
                    <w:ind w:left="0" w:right="0" w:firstLine="516"/>
                    <w:jc w:val="left"/>
                  </w:pPr>
                  <w:r>
                    <w:rPr>
                      <w:rFonts w:hint="default" w:ascii="仿宋_gb2312" w:hAnsi="仿宋_gb2312" w:eastAsia="仿宋_gb2312" w:cs="仿宋_gb2312"/>
                      <w:color w:val="333333"/>
                      <w:kern w:val="0"/>
                      <w:sz w:val="25"/>
                      <w:szCs w:val="25"/>
                      <w:u w:val="none"/>
                      <w:lang w:val="en-US" w:eastAsia="zh-CN" w:bidi="ar"/>
                    </w:rPr>
                    <w:t> </w:t>
                  </w:r>
                </w:p>
                <w:p>
                  <w:pPr>
                    <w:keepNext w:val="0"/>
                    <w:keepLines w:val="0"/>
                    <w:widowControl/>
                    <w:suppressLineNumbers w:val="0"/>
                    <w:wordWrap w:val="0"/>
                    <w:spacing w:before="0" w:beforeAutospacing="1" w:after="0" w:afterAutospacing="1" w:line="480" w:lineRule="atLeast"/>
                    <w:ind w:left="0" w:right="0" w:firstLine="516"/>
                    <w:jc w:val="right"/>
                  </w:pPr>
                  <w:r>
                    <w:rPr>
                      <w:rFonts w:hint="default" w:ascii="仿宋_gb2312" w:hAnsi="仿宋_gb2312" w:eastAsia="仿宋_gb2312" w:cs="仿宋_gb2312"/>
                      <w:color w:val="333333"/>
                      <w:kern w:val="0"/>
                      <w:sz w:val="25"/>
                      <w:szCs w:val="25"/>
                      <w:u w:val="none"/>
                      <w:lang w:val="en-US" w:eastAsia="zh-CN" w:bidi="ar"/>
                    </w:rPr>
                    <w:t>华南农业大学研招办</w:t>
                  </w:r>
                </w:p>
                <w:p>
                  <w:pPr>
                    <w:keepNext w:val="0"/>
                    <w:keepLines w:val="0"/>
                    <w:widowControl/>
                    <w:suppressLineNumbers w:val="0"/>
                    <w:wordWrap w:val="0"/>
                    <w:spacing w:before="0" w:beforeAutospacing="1" w:after="0" w:afterAutospacing="1" w:line="480" w:lineRule="atLeast"/>
                    <w:ind w:left="0" w:right="0" w:firstLine="516"/>
                    <w:jc w:val="right"/>
                  </w:pPr>
                  <w:r>
                    <w:rPr>
                      <w:rFonts w:hint="default" w:ascii="仿宋_gb2312" w:hAnsi="仿宋_gb2312" w:eastAsia="仿宋_gb2312" w:cs="仿宋_gb2312"/>
                      <w:color w:val="333333"/>
                      <w:kern w:val="0"/>
                      <w:sz w:val="25"/>
                      <w:szCs w:val="25"/>
                      <w:u w:val="none"/>
                      <w:lang w:val="en-US" w:eastAsia="zh-CN" w:bidi="ar"/>
                    </w:rPr>
                    <w:t>2023年4月4日</w:t>
                  </w:r>
                </w:p>
              </w:tc>
            </w:tr>
          </w:tbl>
          <w:p>
            <w:pPr>
              <w:wordWrap w:val="0"/>
              <w:spacing w:before="0" w:beforeAutospacing="1" w:after="0" w:afterAutospacing="1" w:line="480" w:lineRule="atLeast"/>
              <w:ind w:left="0" w:right="0" w:firstLine="516"/>
              <w:jc w:val="right"/>
              <w:rPr>
                <w:rFonts w:hint="eastAsia" w:ascii="微软雅黑" w:hAnsi="微软雅黑" w:eastAsia="微软雅黑" w:cs="微软雅黑"/>
                <w:i w:val="0"/>
                <w:iCs w:val="0"/>
                <w:caps w:val="0"/>
                <w:color w:val="333333"/>
                <w:spacing w:val="0"/>
                <w:sz w:val="14"/>
                <w:szCs w:val="14"/>
                <w:u w:val="no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2C30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1457</Words>
  <Characters>1658</Characters>
  <Lines>0</Lines>
  <Paragraphs>0</Paragraphs>
  <TotalTime>0</TotalTime>
  <ScaleCrop>false</ScaleCrop>
  <LinksUpToDate>false</LinksUpToDate>
  <CharactersWithSpaces>1745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2023-04-23T02:01:22Z</dcterms:created>
  <dc:creator>DELL</dc:creator>
  <cp:lastModifiedBy>曾经的那个老吴</cp:lastModifiedBy>
  <dcterms:modified xsi:type="dcterms:W3CDTF">2023-04-23T02:01:25Z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B08CFD19F0A34765B4F23EAB9C36B36F_12</vt:lpwstr>
  </property>
</Properties>
</file>