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288" w:lineRule="atLeast"/>
        <w:ind w:left="0" w:right="0" w:firstLine="0"/>
        <w:jc w:val="center"/>
        <w:rPr>
          <w:rFonts w:ascii="微软雅黑" w:hAnsi="微软雅黑" w:eastAsia="微软雅黑" w:cs="微软雅黑"/>
          <w:b w:val="0"/>
          <w:bCs w:val="0"/>
          <w:i w:val="0"/>
          <w:iCs w:val="0"/>
          <w:caps w:val="0"/>
          <w:color w:val="000000"/>
          <w:spacing w:val="0"/>
          <w:sz w:val="28"/>
          <w:szCs w:val="28"/>
        </w:rPr>
      </w:pPr>
      <w:r>
        <w:rPr>
          <w:rFonts w:hint="eastAsia" w:ascii="微软雅黑" w:hAnsi="微软雅黑" w:eastAsia="微软雅黑" w:cs="微软雅黑"/>
          <w:b w:val="0"/>
          <w:bCs w:val="0"/>
          <w:i w:val="0"/>
          <w:iCs w:val="0"/>
          <w:caps w:val="0"/>
          <w:color w:val="000000"/>
          <w:spacing w:val="0"/>
          <w:sz w:val="28"/>
          <w:szCs w:val="28"/>
          <w:bdr w:val="none" w:color="auto" w:sz="0" w:space="0"/>
          <w:shd w:val="clear" w:fill="FFFFFF"/>
        </w:rPr>
        <w:t>材料与能源学院2023年硕士生调剂需求信息（第三次）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21" w:lineRule="atLeast"/>
        <w:ind w:left="0" w:right="0" w:firstLine="0"/>
        <w:jc w:val="center"/>
        <w:rPr>
          <w:rFonts w:hint="eastAsia" w:ascii="Segoe UI" w:hAnsi="Segoe UI" w:eastAsia="Segoe UI" w:cs="Segoe UI"/>
          <w:i w:val="0"/>
          <w:iCs w:val="0"/>
          <w:caps w:val="0"/>
          <w:color w:val="000000"/>
          <w:spacing w:val="0"/>
          <w:sz w:val="15"/>
          <w:szCs w:val="15"/>
        </w:rPr>
      </w:pPr>
      <w:r>
        <w:rPr>
          <w:rFonts w:hint="default" w:ascii="Segoe UI" w:hAnsi="Segoe UI" w:eastAsia="Segoe UI" w:cs="Segoe UI"/>
          <w:i w:val="0"/>
          <w:iCs w:val="0"/>
          <w:caps w:val="0"/>
          <w:color w:val="68696B"/>
          <w:spacing w:val="0"/>
          <w:sz w:val="16"/>
          <w:szCs w:val="16"/>
          <w:bdr w:val="none" w:color="auto" w:sz="0" w:space="0"/>
          <w:shd w:val="clear" w:fill="FFFFFF"/>
        </w:rPr>
        <w:t>发布者：材料与能源学院  发布时间：2023-04-20  浏览次数：4827</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jc w:val="left"/>
        <w:rPr>
          <w:color w:val="333333"/>
          <w:sz w:val="16"/>
          <w:szCs w:val="16"/>
        </w:rPr>
      </w:pPr>
      <w:r>
        <w:rPr>
          <w:rStyle w:val="7"/>
          <w:rFonts w:ascii="fangsong_gb2312" w:hAnsi="fangsong_gb2312" w:eastAsia="fangsong_gb2312" w:cs="fangsong_gb2312"/>
          <w:b/>
          <w:bCs/>
          <w:i w:val="0"/>
          <w:iCs w:val="0"/>
          <w:caps w:val="0"/>
          <w:color w:val="333333"/>
          <w:spacing w:val="0"/>
          <w:kern w:val="0"/>
          <w:sz w:val="24"/>
          <w:szCs w:val="24"/>
          <w:bdr w:val="none" w:color="auto" w:sz="0" w:space="0"/>
          <w:shd w:val="clear" w:fill="FFFFFF"/>
          <w:lang w:val="en-US" w:eastAsia="zh-CN" w:bidi="ar"/>
        </w:rPr>
        <w:t>一、接受调剂的专业和人数</w:t>
      </w:r>
    </w:p>
    <w:tbl>
      <w:tblPr>
        <w:tblW w:w="805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597"/>
        <w:gridCol w:w="2448"/>
        <w:gridCol w:w="4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jc w:val="center"/>
        </w:trPr>
        <w:tc>
          <w:tcPr>
            <w:tcW w:w="1488" w:type="dxa"/>
            <w:tcBorders>
              <w:top w:val="single" w:color="000000" w:sz="4" w:space="0"/>
              <w:left w:val="single" w:color="000000" w:sz="4" w:space="0"/>
              <w:bottom w:val="single" w:color="000000" w:sz="4" w:space="0"/>
              <w:right w:val="single" w:color="000000" w:sz="4" w:space="0"/>
            </w:tcBorders>
            <w:shd w:val="clear" w:color="auto" w:fill="FFFFFF"/>
            <w:tcMar>
              <w:left w:w="84" w:type="dxa"/>
              <w:right w:w="84"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jc w:val="center"/>
              <w:rPr>
                <w:color w:val="333333"/>
                <w:sz w:val="16"/>
                <w:szCs w:val="16"/>
              </w:rPr>
            </w:pPr>
            <w:r>
              <w:rPr>
                <w:rStyle w:val="7"/>
                <w:rFonts w:hint="default" w:ascii="fangsong_gb2312" w:hAnsi="fangsong_gb2312" w:eastAsia="fangsong_gb2312" w:cs="fangsong_gb2312"/>
                <w:b/>
                <w:bCs/>
                <w:color w:val="333333"/>
                <w:kern w:val="0"/>
                <w:sz w:val="24"/>
                <w:szCs w:val="24"/>
                <w:bdr w:val="none" w:color="auto" w:sz="0" w:space="0"/>
                <w:lang w:val="en-US" w:eastAsia="zh-CN" w:bidi="ar"/>
              </w:rPr>
              <w:t>专业代码</w:t>
            </w:r>
          </w:p>
        </w:tc>
        <w:tc>
          <w:tcPr>
            <w:tcW w:w="2280" w:type="dxa"/>
            <w:tcBorders>
              <w:top w:val="single" w:color="000000" w:sz="4" w:space="0"/>
              <w:left w:val="nil"/>
              <w:bottom w:val="single" w:color="000000" w:sz="4" w:space="0"/>
              <w:right w:val="single" w:color="000000" w:sz="4" w:space="0"/>
            </w:tcBorders>
            <w:shd w:val="clear" w:color="auto" w:fill="FFFFFF"/>
            <w:tcMar>
              <w:left w:w="84" w:type="dxa"/>
              <w:right w:w="84"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20" w:afterAutospacing="0" w:line="21" w:lineRule="atLeast"/>
              <w:ind w:left="0" w:right="0"/>
              <w:jc w:val="center"/>
              <w:rPr>
                <w:color w:val="333333"/>
                <w:sz w:val="16"/>
                <w:szCs w:val="16"/>
              </w:rPr>
            </w:pPr>
            <w:r>
              <w:rPr>
                <w:rStyle w:val="7"/>
                <w:rFonts w:hint="default" w:ascii="fangsong_gb2312" w:hAnsi="fangsong_gb2312" w:eastAsia="fangsong_gb2312" w:cs="fangsong_gb2312"/>
                <w:b/>
                <w:bCs/>
                <w:color w:val="333333"/>
                <w:kern w:val="0"/>
                <w:sz w:val="24"/>
                <w:szCs w:val="24"/>
                <w:bdr w:val="none" w:color="auto" w:sz="0" w:space="0"/>
                <w:lang w:val="en-US" w:eastAsia="zh-CN" w:bidi="ar"/>
              </w:rPr>
              <w:t>专业名称</w:t>
            </w:r>
          </w:p>
        </w:tc>
        <w:tc>
          <w:tcPr>
            <w:tcW w:w="3732" w:type="dxa"/>
            <w:tcBorders>
              <w:top w:val="single" w:color="000000" w:sz="4" w:space="0"/>
              <w:left w:val="nil"/>
              <w:bottom w:val="single" w:color="000000" w:sz="4" w:space="0"/>
              <w:right w:val="single" w:color="000000" w:sz="4" w:space="0"/>
            </w:tcBorders>
            <w:shd w:val="clear" w:color="auto" w:fill="FFFFFF"/>
            <w:tcMar>
              <w:left w:w="84" w:type="dxa"/>
              <w:right w:w="84"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20" w:afterAutospacing="0" w:line="21" w:lineRule="atLeast"/>
              <w:ind w:left="0" w:right="0"/>
              <w:jc w:val="center"/>
              <w:rPr>
                <w:color w:val="333333"/>
                <w:sz w:val="16"/>
                <w:szCs w:val="16"/>
              </w:rPr>
            </w:pPr>
            <w:r>
              <w:rPr>
                <w:rStyle w:val="7"/>
                <w:rFonts w:hint="default" w:ascii="fangsong_gb2312" w:hAnsi="fangsong_gb2312" w:eastAsia="fangsong_gb2312" w:cs="fangsong_gb2312"/>
                <w:b/>
                <w:bCs/>
                <w:color w:val="333333"/>
                <w:kern w:val="0"/>
                <w:sz w:val="24"/>
                <w:szCs w:val="24"/>
                <w:bdr w:val="none" w:color="auto" w:sz="0" w:space="0"/>
                <w:lang w:val="en-US" w:eastAsia="zh-CN" w:bidi="ar"/>
              </w:rPr>
              <w:t>调剂人数</w:t>
            </w:r>
            <w:r>
              <w:rPr>
                <w:rStyle w:val="7"/>
                <w:rFonts w:asciiTheme="minorHAnsi" w:hAnsiTheme="minorHAnsi" w:eastAsiaTheme="minorEastAsia" w:cstheme="minorBidi"/>
                <w:b/>
                <w:bCs/>
                <w:color w:val="333333"/>
                <w:kern w:val="0"/>
                <w:sz w:val="18"/>
                <w:szCs w:val="18"/>
                <w:bdr w:val="none" w:color="auto" w:sz="0" w:space="0"/>
                <w:lang w:val="en-US" w:eastAsia="zh-CN" w:bidi="ar"/>
              </w:rPr>
              <w:br w:type="textWrapping"/>
            </w:r>
            <w:r>
              <w:rPr>
                <w:rStyle w:val="7"/>
                <w:rFonts w:hint="default" w:ascii="fangsong_gb2312" w:hAnsi="fangsong_gb2312" w:eastAsia="fangsong_gb2312" w:cs="fangsong_gb2312"/>
                <w:b/>
                <w:bCs/>
                <w:color w:val="333333"/>
                <w:kern w:val="0"/>
                <w:sz w:val="24"/>
                <w:szCs w:val="24"/>
                <w:bdr w:val="none" w:color="auto" w:sz="0" w:space="0"/>
                <w:lang w:val="en-US" w:eastAsia="zh-CN" w:bidi="ar"/>
              </w:rPr>
              <w:t>（</w:t>
            </w:r>
            <w:r>
              <w:rPr>
                <w:rFonts w:hint="default" w:ascii="fangsong_gb2312" w:hAnsi="fangsong_gb2312" w:eastAsia="fangsong_gb2312" w:cs="fangsong_gb2312"/>
                <w:color w:val="333333"/>
                <w:kern w:val="0"/>
                <w:sz w:val="24"/>
                <w:szCs w:val="24"/>
                <w:bdr w:val="none" w:color="auto" w:sz="0" w:space="0"/>
                <w:lang w:val="en-US" w:eastAsia="zh-CN" w:bidi="ar"/>
              </w:rPr>
              <w:t>最终以实际录取情况为准</w:t>
            </w:r>
            <w:r>
              <w:rPr>
                <w:rStyle w:val="7"/>
                <w:rFonts w:hint="default" w:ascii="fangsong_gb2312" w:hAnsi="fangsong_gb2312" w:eastAsia="fangsong_gb2312" w:cs="fangsong_gb2312"/>
                <w:b/>
                <w:bCs/>
                <w:color w:val="333333"/>
                <w:kern w:val="0"/>
                <w:sz w:val="24"/>
                <w:szCs w:val="24"/>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0" w:hRule="atLeast"/>
          <w:jc w:val="center"/>
        </w:trPr>
        <w:tc>
          <w:tcPr>
            <w:tcW w:w="1488" w:type="dxa"/>
            <w:tcBorders>
              <w:top w:val="nil"/>
              <w:left w:val="single" w:color="000000" w:sz="4" w:space="0"/>
              <w:bottom w:val="single" w:color="000000" w:sz="4" w:space="0"/>
              <w:right w:val="single" w:color="000000" w:sz="4" w:space="0"/>
            </w:tcBorders>
            <w:shd w:val="clear" w:color="auto" w:fill="F8F8F8"/>
            <w:tcMar>
              <w:left w:w="84" w:type="dxa"/>
              <w:right w:w="84"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jc w:val="center"/>
              <w:rPr>
                <w:color w:val="333333"/>
                <w:sz w:val="16"/>
                <w:szCs w:val="16"/>
              </w:rPr>
            </w:pPr>
            <w:r>
              <w:rPr>
                <w:rFonts w:hint="default" w:ascii="fangsong_gb2312" w:hAnsi="fangsong_gb2312" w:eastAsia="fangsong_gb2312" w:cs="fangsong_gb2312"/>
                <w:color w:val="333333"/>
                <w:kern w:val="0"/>
                <w:sz w:val="24"/>
                <w:szCs w:val="24"/>
                <w:bdr w:val="none" w:color="auto" w:sz="0" w:space="0"/>
                <w:lang w:val="en-US" w:eastAsia="zh-CN" w:bidi="ar"/>
              </w:rPr>
              <w:t>081700</w:t>
            </w:r>
          </w:p>
        </w:tc>
        <w:tc>
          <w:tcPr>
            <w:tcW w:w="2280" w:type="dxa"/>
            <w:tcBorders>
              <w:top w:val="nil"/>
              <w:left w:val="nil"/>
              <w:bottom w:val="single" w:color="000000" w:sz="4" w:space="0"/>
              <w:right w:val="single" w:color="000000" w:sz="4" w:space="0"/>
            </w:tcBorders>
            <w:shd w:val="clear" w:color="auto" w:fill="F8F8F8"/>
            <w:tcMar>
              <w:left w:w="84" w:type="dxa"/>
              <w:right w:w="84"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20" w:afterAutospacing="0" w:line="21" w:lineRule="atLeast"/>
              <w:ind w:left="0" w:right="0"/>
              <w:jc w:val="center"/>
              <w:rPr>
                <w:color w:val="333333"/>
                <w:sz w:val="16"/>
                <w:szCs w:val="16"/>
              </w:rPr>
            </w:pPr>
            <w:r>
              <w:rPr>
                <w:rFonts w:hint="default" w:ascii="fangsong_gb2312" w:hAnsi="fangsong_gb2312" w:eastAsia="fangsong_gb2312" w:cs="fangsong_gb2312"/>
                <w:color w:val="333333"/>
                <w:kern w:val="0"/>
                <w:sz w:val="24"/>
                <w:szCs w:val="24"/>
                <w:bdr w:val="none" w:color="auto" w:sz="0" w:space="0"/>
                <w:lang w:val="en-US" w:eastAsia="zh-CN" w:bidi="ar"/>
              </w:rPr>
              <w:t>化学工程与技术</w:t>
            </w:r>
          </w:p>
        </w:tc>
        <w:tc>
          <w:tcPr>
            <w:tcW w:w="3732" w:type="dxa"/>
            <w:tcBorders>
              <w:top w:val="nil"/>
              <w:left w:val="nil"/>
              <w:bottom w:val="single" w:color="000000" w:sz="4" w:space="0"/>
              <w:right w:val="single" w:color="000000" w:sz="4" w:space="0"/>
            </w:tcBorders>
            <w:shd w:val="clear" w:color="auto" w:fill="F8F8F8"/>
            <w:tcMar>
              <w:left w:w="84" w:type="dxa"/>
              <w:right w:w="84"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20" w:afterAutospacing="0" w:line="21" w:lineRule="atLeast"/>
              <w:ind w:left="0" w:right="0"/>
              <w:jc w:val="center"/>
              <w:rPr>
                <w:color w:val="333333"/>
                <w:sz w:val="16"/>
                <w:szCs w:val="16"/>
              </w:rPr>
            </w:pPr>
            <w:r>
              <w:rPr>
                <w:rFonts w:hint="default" w:ascii="fangsong_gb2312" w:hAnsi="fangsong_gb2312" w:eastAsia="fangsong_gb2312" w:cs="fangsong_gb2312"/>
                <w:color w:val="333333"/>
                <w:kern w:val="0"/>
                <w:sz w:val="24"/>
                <w:szCs w:val="24"/>
                <w:bdr w:val="none" w:color="auto" w:sz="0" w:space="0"/>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0" w:hRule="atLeast"/>
          <w:jc w:val="center"/>
        </w:trPr>
        <w:tc>
          <w:tcPr>
            <w:tcW w:w="1488" w:type="dxa"/>
            <w:tcBorders>
              <w:top w:val="nil"/>
              <w:left w:val="single" w:color="000000" w:sz="4" w:space="0"/>
              <w:bottom w:val="single" w:color="000000" w:sz="4" w:space="0"/>
              <w:right w:val="single" w:color="000000" w:sz="4" w:space="0"/>
            </w:tcBorders>
            <w:shd w:val="clear" w:color="auto" w:fill="FFFFFF"/>
            <w:tcMar>
              <w:left w:w="84" w:type="dxa"/>
              <w:right w:w="84"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jc w:val="center"/>
              <w:rPr>
                <w:color w:val="333333"/>
                <w:sz w:val="16"/>
                <w:szCs w:val="16"/>
              </w:rPr>
            </w:pPr>
            <w:r>
              <w:rPr>
                <w:rFonts w:hint="default" w:ascii="fangsong_gb2312" w:hAnsi="fangsong_gb2312" w:eastAsia="fangsong_gb2312" w:cs="fangsong_gb2312"/>
                <w:color w:val="333333"/>
                <w:kern w:val="0"/>
                <w:sz w:val="24"/>
                <w:szCs w:val="24"/>
                <w:bdr w:val="none" w:color="auto" w:sz="0" w:space="0"/>
                <w:lang w:val="en-US" w:eastAsia="zh-CN" w:bidi="ar"/>
              </w:rPr>
              <w:t>082900</w:t>
            </w:r>
          </w:p>
        </w:tc>
        <w:tc>
          <w:tcPr>
            <w:tcW w:w="2280" w:type="dxa"/>
            <w:tcBorders>
              <w:top w:val="nil"/>
              <w:left w:val="nil"/>
              <w:bottom w:val="single" w:color="000000" w:sz="4" w:space="0"/>
              <w:right w:val="single" w:color="000000" w:sz="4" w:space="0"/>
            </w:tcBorders>
            <w:shd w:val="clear" w:color="auto" w:fill="FFFFFF"/>
            <w:tcMar>
              <w:left w:w="84" w:type="dxa"/>
              <w:right w:w="84"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20" w:afterAutospacing="0" w:line="21" w:lineRule="atLeast"/>
              <w:ind w:left="0" w:right="0"/>
              <w:jc w:val="center"/>
              <w:rPr>
                <w:color w:val="333333"/>
                <w:sz w:val="16"/>
                <w:szCs w:val="16"/>
              </w:rPr>
            </w:pPr>
            <w:r>
              <w:rPr>
                <w:rFonts w:hint="default" w:ascii="fangsong_gb2312" w:hAnsi="fangsong_gb2312" w:eastAsia="fangsong_gb2312" w:cs="fangsong_gb2312"/>
                <w:color w:val="333333"/>
                <w:kern w:val="0"/>
                <w:sz w:val="24"/>
                <w:szCs w:val="24"/>
                <w:bdr w:val="none" w:color="auto" w:sz="0" w:space="0"/>
                <w:lang w:val="en-US" w:eastAsia="zh-CN" w:bidi="ar"/>
              </w:rPr>
              <w:t>林业工程</w:t>
            </w:r>
          </w:p>
        </w:tc>
        <w:tc>
          <w:tcPr>
            <w:tcW w:w="3732" w:type="dxa"/>
            <w:tcBorders>
              <w:top w:val="nil"/>
              <w:left w:val="nil"/>
              <w:bottom w:val="single" w:color="000000" w:sz="4" w:space="0"/>
              <w:right w:val="single" w:color="000000" w:sz="4" w:space="0"/>
            </w:tcBorders>
            <w:shd w:val="clear" w:color="auto" w:fill="FFFFFF"/>
            <w:tcMar>
              <w:left w:w="84" w:type="dxa"/>
              <w:right w:w="84"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20" w:afterAutospacing="0" w:line="21" w:lineRule="atLeast"/>
              <w:ind w:left="0" w:right="0"/>
              <w:jc w:val="center"/>
              <w:rPr>
                <w:color w:val="333333"/>
                <w:sz w:val="16"/>
                <w:szCs w:val="16"/>
              </w:rPr>
            </w:pPr>
            <w:r>
              <w:rPr>
                <w:rFonts w:hint="default" w:ascii="fangsong_gb2312" w:hAnsi="fangsong_gb2312" w:eastAsia="fangsong_gb2312" w:cs="fangsong_gb2312"/>
                <w:color w:val="333333"/>
                <w:kern w:val="0"/>
                <w:sz w:val="24"/>
                <w:szCs w:val="24"/>
                <w:bdr w:val="none" w:color="auto" w:sz="0" w:space="0"/>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0" w:hRule="atLeast"/>
          <w:jc w:val="center"/>
        </w:trPr>
        <w:tc>
          <w:tcPr>
            <w:tcW w:w="1488" w:type="dxa"/>
            <w:tcBorders>
              <w:top w:val="nil"/>
              <w:left w:val="single" w:color="000000" w:sz="4" w:space="0"/>
              <w:bottom w:val="single" w:color="000000" w:sz="4" w:space="0"/>
              <w:right w:val="single" w:color="000000" w:sz="4" w:space="0"/>
            </w:tcBorders>
            <w:shd w:val="clear" w:color="auto" w:fill="F8F8F8"/>
            <w:tcMar>
              <w:left w:w="84" w:type="dxa"/>
              <w:right w:w="84"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jc w:val="center"/>
              <w:rPr>
                <w:color w:val="333333"/>
                <w:sz w:val="16"/>
                <w:szCs w:val="16"/>
              </w:rPr>
            </w:pPr>
            <w:r>
              <w:rPr>
                <w:rFonts w:hint="default" w:ascii="fangsong_gb2312" w:hAnsi="fangsong_gb2312" w:eastAsia="fangsong_gb2312" w:cs="fangsong_gb2312"/>
                <w:color w:val="333333"/>
                <w:kern w:val="0"/>
                <w:sz w:val="24"/>
                <w:szCs w:val="24"/>
                <w:bdr w:val="none" w:color="auto" w:sz="0" w:space="0"/>
                <w:lang w:val="en-US" w:eastAsia="zh-CN" w:bidi="ar"/>
              </w:rPr>
              <w:t>085601</w:t>
            </w:r>
          </w:p>
        </w:tc>
        <w:tc>
          <w:tcPr>
            <w:tcW w:w="2280" w:type="dxa"/>
            <w:tcBorders>
              <w:top w:val="nil"/>
              <w:left w:val="nil"/>
              <w:bottom w:val="single" w:color="000000" w:sz="4" w:space="0"/>
              <w:right w:val="single" w:color="000000" w:sz="4" w:space="0"/>
            </w:tcBorders>
            <w:shd w:val="clear" w:color="auto" w:fill="F8F8F8"/>
            <w:tcMar>
              <w:left w:w="84" w:type="dxa"/>
              <w:right w:w="84"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20" w:afterAutospacing="0" w:line="21" w:lineRule="atLeast"/>
              <w:ind w:left="0" w:right="0"/>
              <w:jc w:val="center"/>
              <w:rPr>
                <w:color w:val="333333"/>
                <w:sz w:val="16"/>
                <w:szCs w:val="16"/>
              </w:rPr>
            </w:pPr>
            <w:r>
              <w:rPr>
                <w:rFonts w:hint="default" w:ascii="fangsong_gb2312" w:hAnsi="fangsong_gb2312" w:eastAsia="fangsong_gb2312" w:cs="fangsong_gb2312"/>
                <w:color w:val="333333"/>
                <w:kern w:val="0"/>
                <w:sz w:val="24"/>
                <w:szCs w:val="24"/>
                <w:bdr w:val="none" w:color="auto" w:sz="0" w:space="0"/>
                <w:lang w:val="en-US" w:eastAsia="zh-CN" w:bidi="ar"/>
              </w:rPr>
              <w:t>材料工程</w:t>
            </w:r>
          </w:p>
        </w:tc>
        <w:tc>
          <w:tcPr>
            <w:tcW w:w="3732" w:type="dxa"/>
            <w:tcBorders>
              <w:top w:val="nil"/>
              <w:left w:val="nil"/>
              <w:bottom w:val="single" w:color="000000" w:sz="4" w:space="0"/>
              <w:right w:val="single" w:color="000000" w:sz="4" w:space="0"/>
            </w:tcBorders>
            <w:shd w:val="clear" w:color="auto" w:fill="F8F8F8"/>
            <w:tcMar>
              <w:left w:w="84" w:type="dxa"/>
              <w:right w:w="84"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20" w:afterAutospacing="0" w:line="21" w:lineRule="atLeast"/>
              <w:ind w:left="0" w:right="0"/>
              <w:jc w:val="center"/>
              <w:rPr>
                <w:color w:val="333333"/>
                <w:sz w:val="16"/>
                <w:szCs w:val="16"/>
              </w:rPr>
            </w:pPr>
            <w:r>
              <w:rPr>
                <w:rFonts w:hint="default" w:ascii="fangsong_gb2312" w:hAnsi="fangsong_gb2312" w:eastAsia="fangsong_gb2312" w:cs="fangsong_gb2312"/>
                <w:color w:val="333333"/>
                <w:kern w:val="0"/>
                <w:sz w:val="24"/>
                <w:szCs w:val="24"/>
                <w:bdr w:val="none" w:color="auto" w:sz="0" w:space="0"/>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0" w:hRule="atLeast"/>
          <w:jc w:val="center"/>
        </w:trPr>
        <w:tc>
          <w:tcPr>
            <w:tcW w:w="1488" w:type="dxa"/>
            <w:tcBorders>
              <w:top w:val="nil"/>
              <w:left w:val="single" w:color="000000" w:sz="4" w:space="0"/>
              <w:bottom w:val="single" w:color="000000" w:sz="4" w:space="0"/>
              <w:right w:val="single" w:color="000000" w:sz="4" w:space="0"/>
            </w:tcBorders>
            <w:shd w:val="clear" w:color="auto" w:fill="FFFFFF"/>
            <w:tcMar>
              <w:left w:w="84" w:type="dxa"/>
              <w:right w:w="84"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jc w:val="center"/>
              <w:rPr>
                <w:color w:val="333333"/>
                <w:sz w:val="16"/>
                <w:szCs w:val="16"/>
              </w:rPr>
            </w:pPr>
            <w:r>
              <w:rPr>
                <w:rFonts w:hint="default" w:ascii="fangsong_gb2312" w:hAnsi="fangsong_gb2312" w:eastAsia="fangsong_gb2312" w:cs="fangsong_gb2312"/>
                <w:color w:val="333333"/>
                <w:kern w:val="0"/>
                <w:sz w:val="24"/>
                <w:szCs w:val="24"/>
                <w:bdr w:val="none" w:color="auto" w:sz="0" w:space="0"/>
                <w:lang w:val="en-US" w:eastAsia="zh-CN" w:bidi="ar"/>
              </w:rPr>
              <w:t>085602</w:t>
            </w:r>
          </w:p>
        </w:tc>
        <w:tc>
          <w:tcPr>
            <w:tcW w:w="2280" w:type="dxa"/>
            <w:tcBorders>
              <w:top w:val="nil"/>
              <w:left w:val="nil"/>
              <w:bottom w:val="single" w:color="000000" w:sz="4" w:space="0"/>
              <w:right w:val="single" w:color="000000" w:sz="4" w:space="0"/>
            </w:tcBorders>
            <w:shd w:val="clear" w:color="auto" w:fill="FFFFFF"/>
            <w:tcMar>
              <w:left w:w="84" w:type="dxa"/>
              <w:right w:w="84"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20" w:afterAutospacing="0" w:line="21" w:lineRule="atLeast"/>
              <w:ind w:left="0" w:right="0"/>
              <w:jc w:val="center"/>
              <w:rPr>
                <w:color w:val="333333"/>
                <w:sz w:val="16"/>
                <w:szCs w:val="16"/>
              </w:rPr>
            </w:pPr>
            <w:r>
              <w:rPr>
                <w:rFonts w:hint="default" w:ascii="fangsong_gb2312" w:hAnsi="fangsong_gb2312" w:eastAsia="fangsong_gb2312" w:cs="fangsong_gb2312"/>
                <w:color w:val="333333"/>
                <w:kern w:val="0"/>
                <w:sz w:val="24"/>
                <w:szCs w:val="24"/>
                <w:bdr w:val="none" w:color="auto" w:sz="0" w:space="0"/>
                <w:lang w:val="en-US" w:eastAsia="zh-CN" w:bidi="ar"/>
              </w:rPr>
              <w:t>化学工程</w:t>
            </w:r>
          </w:p>
        </w:tc>
        <w:tc>
          <w:tcPr>
            <w:tcW w:w="3732" w:type="dxa"/>
            <w:tcBorders>
              <w:top w:val="nil"/>
              <w:left w:val="nil"/>
              <w:bottom w:val="single" w:color="000000" w:sz="4" w:space="0"/>
              <w:right w:val="single" w:color="000000" w:sz="4" w:space="0"/>
            </w:tcBorders>
            <w:shd w:val="clear" w:color="auto" w:fill="FFFFFF"/>
            <w:tcMar>
              <w:left w:w="84" w:type="dxa"/>
              <w:right w:w="84"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20" w:afterAutospacing="0" w:line="21" w:lineRule="atLeast"/>
              <w:ind w:left="0" w:right="0"/>
              <w:jc w:val="center"/>
              <w:rPr>
                <w:color w:val="333333"/>
                <w:sz w:val="16"/>
                <w:szCs w:val="16"/>
              </w:rPr>
            </w:pPr>
            <w:r>
              <w:rPr>
                <w:rFonts w:hint="default" w:ascii="fangsong_gb2312" w:hAnsi="fangsong_gb2312" w:eastAsia="fangsong_gb2312" w:cs="fangsong_gb2312"/>
                <w:color w:val="333333"/>
                <w:kern w:val="0"/>
                <w:sz w:val="24"/>
                <w:szCs w:val="24"/>
                <w:bdr w:val="none" w:color="auto" w:sz="0" w:space="0"/>
                <w:lang w:val="en-US" w:eastAsia="zh-CN" w:bidi="ar"/>
              </w:rPr>
              <w:t>8</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jc w:val="left"/>
        <w:rPr>
          <w:color w:val="333333"/>
          <w:sz w:val="16"/>
          <w:szCs w:val="16"/>
        </w:rPr>
      </w:pPr>
      <w:r>
        <w:rPr>
          <w:rStyle w:val="7"/>
          <w:rFonts w:hint="default" w:ascii="fangsong_gb2312" w:hAnsi="fangsong_gb2312" w:eastAsia="fangsong_gb2312" w:cs="fangsong_gb2312"/>
          <w:b/>
          <w:bCs/>
          <w:i w:val="0"/>
          <w:iCs w:val="0"/>
          <w:caps w:val="0"/>
          <w:color w:val="333333"/>
          <w:spacing w:val="0"/>
          <w:kern w:val="0"/>
          <w:sz w:val="24"/>
          <w:szCs w:val="24"/>
          <w:bdr w:val="none" w:color="auto" w:sz="0" w:space="0"/>
          <w:shd w:val="clear" w:fill="FFFFFF"/>
          <w:lang w:val="en-US" w:eastAsia="zh-CN" w:bidi="ar"/>
        </w:rPr>
        <w:t>二、考生调剂要求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firstLine="444"/>
        <w:jc w:val="left"/>
        <w:rPr>
          <w:color w:val="333333"/>
          <w:sz w:val="16"/>
          <w:szCs w:val="16"/>
        </w:rPr>
      </w:pP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考生相关条件需符合教育部和学校的调剂政策及要求，其报考专业要求及初试科目成绩要求和遴选办法如下。其他按照《华南农业大学2023年硕士研究生招生复试及录取办法》、《华南农业大学2023年硕士生调剂说明》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firstLine="444"/>
        <w:jc w:val="left"/>
        <w:rPr>
          <w:color w:val="333333"/>
          <w:sz w:val="16"/>
          <w:szCs w:val="16"/>
        </w:rPr>
      </w:pP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1.符合调入专业的报考条件和初试基本成绩要求。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firstLine="444"/>
        <w:jc w:val="left"/>
        <w:rPr>
          <w:color w:val="333333"/>
          <w:sz w:val="16"/>
          <w:szCs w:val="16"/>
        </w:rPr>
      </w:pP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2.初试成绩符合第一志愿报考专业的我校初试成绩基本要求和全国初试成绩基本要求。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firstLine="444"/>
        <w:jc w:val="left"/>
        <w:rPr>
          <w:color w:val="333333"/>
          <w:sz w:val="16"/>
          <w:szCs w:val="16"/>
        </w:rPr>
      </w:pP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3.原报考专业要求：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firstLine="444"/>
        <w:jc w:val="left"/>
        <w:rPr>
          <w:color w:val="333333"/>
          <w:sz w:val="16"/>
          <w:szCs w:val="16"/>
        </w:rPr>
      </w:pPr>
      <w:r>
        <w:rPr>
          <w:rStyle w:val="7"/>
          <w:rFonts w:hint="default" w:ascii="fangsong_gb2312" w:hAnsi="fangsong_gb2312" w:eastAsia="fangsong_gb2312" w:cs="fangsong_gb2312"/>
          <w:b/>
          <w:bCs/>
          <w:i w:val="0"/>
          <w:iCs w:val="0"/>
          <w:caps w:val="0"/>
          <w:color w:val="333333"/>
          <w:spacing w:val="0"/>
          <w:kern w:val="0"/>
          <w:sz w:val="24"/>
          <w:szCs w:val="24"/>
          <w:bdr w:val="none" w:color="auto" w:sz="0" w:space="0"/>
          <w:shd w:val="clear" w:fill="FFFFFF"/>
          <w:lang w:val="en-US" w:eastAsia="zh-CN" w:bidi="ar"/>
        </w:rPr>
        <w:t>081700化学工程与技术</w:t>
      </w: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接收原报考专业代码前四位为：0817、0805；</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firstLine="444"/>
        <w:jc w:val="left"/>
        <w:rPr>
          <w:color w:val="333333"/>
          <w:sz w:val="16"/>
          <w:szCs w:val="16"/>
        </w:rPr>
      </w:pPr>
      <w:r>
        <w:rPr>
          <w:rStyle w:val="7"/>
          <w:rFonts w:hint="default" w:ascii="fangsong_gb2312" w:hAnsi="fangsong_gb2312" w:eastAsia="fangsong_gb2312" w:cs="fangsong_gb2312"/>
          <w:b/>
          <w:bCs/>
          <w:i w:val="0"/>
          <w:iCs w:val="0"/>
          <w:caps w:val="0"/>
          <w:color w:val="333333"/>
          <w:spacing w:val="0"/>
          <w:kern w:val="0"/>
          <w:sz w:val="24"/>
          <w:szCs w:val="24"/>
          <w:bdr w:val="none" w:color="auto" w:sz="0" w:space="0"/>
          <w:shd w:val="clear" w:fill="FFFFFF"/>
          <w:lang w:val="en-US" w:eastAsia="zh-CN" w:bidi="ar"/>
        </w:rPr>
        <w:t>082900林业工程</w:t>
      </w: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接收原报考专业代码前四位为：0829、0805、0817、0822；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firstLine="444"/>
        <w:jc w:val="left"/>
        <w:rPr>
          <w:color w:val="333333"/>
          <w:sz w:val="16"/>
          <w:szCs w:val="16"/>
        </w:rPr>
      </w:pPr>
      <w:r>
        <w:rPr>
          <w:rStyle w:val="7"/>
          <w:rFonts w:hint="default" w:ascii="fangsong_gb2312" w:hAnsi="fangsong_gb2312" w:eastAsia="fangsong_gb2312" w:cs="fangsong_gb2312"/>
          <w:b/>
          <w:bCs/>
          <w:i w:val="0"/>
          <w:iCs w:val="0"/>
          <w:caps w:val="0"/>
          <w:color w:val="333333"/>
          <w:spacing w:val="0"/>
          <w:kern w:val="0"/>
          <w:sz w:val="24"/>
          <w:szCs w:val="24"/>
          <w:bdr w:val="none" w:color="auto" w:sz="0" w:space="0"/>
          <w:shd w:val="clear" w:fill="FFFFFF"/>
          <w:lang w:val="en-US" w:eastAsia="zh-CN" w:bidi="ar"/>
        </w:rPr>
        <w:t>085601材料工程</w:t>
      </w: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接收原报考专业代码前四位为：0856、0805、0817；</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firstLine="444"/>
        <w:jc w:val="left"/>
        <w:rPr>
          <w:color w:val="333333"/>
          <w:sz w:val="16"/>
          <w:szCs w:val="16"/>
        </w:rPr>
      </w:pPr>
      <w:r>
        <w:rPr>
          <w:rStyle w:val="7"/>
          <w:rFonts w:hint="default" w:ascii="fangsong_gb2312" w:hAnsi="fangsong_gb2312" w:eastAsia="fangsong_gb2312" w:cs="fangsong_gb2312"/>
          <w:b/>
          <w:bCs/>
          <w:i w:val="0"/>
          <w:iCs w:val="0"/>
          <w:caps w:val="0"/>
          <w:color w:val="333333"/>
          <w:spacing w:val="0"/>
          <w:kern w:val="0"/>
          <w:sz w:val="24"/>
          <w:szCs w:val="24"/>
          <w:bdr w:val="none" w:color="auto" w:sz="0" w:space="0"/>
          <w:shd w:val="clear" w:fill="FFFFFF"/>
          <w:lang w:val="en-US" w:eastAsia="zh-CN" w:bidi="ar"/>
        </w:rPr>
        <w:t>085602化学工程</w:t>
      </w: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接收原报考专业代码前四位为：0856、0805、0817、0832；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firstLine="444"/>
        <w:jc w:val="left"/>
        <w:rPr>
          <w:color w:val="333333"/>
          <w:sz w:val="16"/>
          <w:szCs w:val="16"/>
        </w:rPr>
      </w:pP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4.初试科目与调入专业初试科目相同或者相近，其中初试全国统一命题科目应与调入专业全国统一命题科目相同。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jc w:val="left"/>
        <w:rPr>
          <w:color w:val="333333"/>
          <w:sz w:val="16"/>
          <w:szCs w:val="16"/>
        </w:rPr>
      </w:pPr>
      <w:r>
        <w:rPr>
          <w:rStyle w:val="7"/>
          <w:rFonts w:hint="default" w:ascii="fangsong_gb2312" w:hAnsi="fangsong_gb2312" w:eastAsia="fangsong_gb2312" w:cs="fangsong_gb2312"/>
          <w:b/>
          <w:bCs/>
          <w:i w:val="0"/>
          <w:iCs w:val="0"/>
          <w:caps w:val="0"/>
          <w:color w:val="333333"/>
          <w:spacing w:val="0"/>
          <w:kern w:val="0"/>
          <w:sz w:val="24"/>
          <w:szCs w:val="24"/>
          <w:bdr w:val="none" w:color="auto" w:sz="0" w:space="0"/>
          <w:shd w:val="clear" w:fill="FFFFFF"/>
          <w:lang w:val="en-US" w:eastAsia="zh-CN" w:bidi="ar"/>
        </w:rPr>
        <w:t>三、调剂系统开放具体时间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jc w:val="left"/>
        <w:rPr>
          <w:color w:val="333333"/>
          <w:sz w:val="16"/>
          <w:szCs w:val="16"/>
        </w:rPr>
      </w:pP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   </w:t>
      </w:r>
      <w:r>
        <w:rPr>
          <w:rFonts w:hint="default" w:ascii="fangsong_gb2312" w:hAnsi="fangsong_gb2312" w:eastAsia="fangsong_gb2312" w:cs="fangsong_gb2312"/>
          <w:i w:val="0"/>
          <w:iCs w:val="0"/>
          <w:caps w:val="0"/>
          <w:color w:val="FF0000"/>
          <w:spacing w:val="0"/>
          <w:kern w:val="0"/>
          <w:sz w:val="24"/>
          <w:szCs w:val="24"/>
          <w:bdr w:val="none" w:color="auto" w:sz="0" w:space="0"/>
          <w:shd w:val="clear" w:fill="FFFFFF"/>
          <w:lang w:val="en-US" w:eastAsia="zh-CN" w:bidi="ar"/>
        </w:rPr>
        <w:t> </w:t>
      </w:r>
      <w:r>
        <w:rPr>
          <w:rStyle w:val="7"/>
          <w:rFonts w:hint="default" w:ascii="fangsong_gb2312" w:hAnsi="fangsong_gb2312" w:eastAsia="fangsong_gb2312" w:cs="fangsong_gb2312"/>
          <w:b/>
          <w:bCs/>
          <w:i w:val="0"/>
          <w:iCs w:val="0"/>
          <w:caps w:val="0"/>
          <w:color w:val="FF0000"/>
          <w:spacing w:val="0"/>
          <w:kern w:val="0"/>
          <w:sz w:val="24"/>
          <w:szCs w:val="24"/>
          <w:bdr w:val="none" w:color="auto" w:sz="0" w:space="0"/>
          <w:shd w:val="clear" w:fill="FFFFFF"/>
          <w:lang w:val="en-US" w:eastAsia="zh-CN" w:bidi="ar"/>
        </w:rPr>
        <w:t>2023年4月20日12:30—2023年4月21日8:30，共20小时。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jc w:val="left"/>
        <w:rPr>
          <w:color w:val="333333"/>
          <w:sz w:val="16"/>
          <w:szCs w:val="16"/>
        </w:rPr>
      </w:pPr>
      <w:r>
        <w:rPr>
          <w:rStyle w:val="7"/>
          <w:rFonts w:hint="default" w:ascii="fangsong_gb2312" w:hAnsi="fangsong_gb2312" w:eastAsia="fangsong_gb2312" w:cs="fangsong_gb2312"/>
          <w:b/>
          <w:bCs/>
          <w:i w:val="0"/>
          <w:iCs w:val="0"/>
          <w:caps w:val="0"/>
          <w:color w:val="333333"/>
          <w:spacing w:val="0"/>
          <w:kern w:val="0"/>
          <w:sz w:val="24"/>
          <w:szCs w:val="24"/>
          <w:bdr w:val="none" w:color="auto" w:sz="0" w:space="0"/>
          <w:shd w:val="clear" w:fill="FFFFFF"/>
          <w:lang w:val="en-US" w:eastAsia="zh-CN" w:bidi="ar"/>
        </w:rPr>
        <w:t>四、调剂及复试的程序和要求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jc w:val="left"/>
        <w:rPr>
          <w:color w:val="333333"/>
          <w:sz w:val="16"/>
          <w:szCs w:val="16"/>
        </w:rPr>
      </w:pP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      按照《华南农业大学2023年硕士研究生招生复试及录取办法》、《华南农业大学2023年硕士生调剂说明》和《华南农业大学材料与能源学院2023年硕士生招生复试及录取工作细则》执行。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jc w:val="left"/>
        <w:rPr>
          <w:color w:val="333333"/>
          <w:sz w:val="16"/>
          <w:szCs w:val="16"/>
        </w:rPr>
      </w:pPr>
      <w:r>
        <w:rPr>
          <w:rStyle w:val="7"/>
          <w:rFonts w:hint="default" w:ascii="fangsong_gb2312" w:hAnsi="fangsong_gb2312" w:eastAsia="fangsong_gb2312" w:cs="fangsong_gb2312"/>
          <w:b/>
          <w:bCs/>
          <w:i w:val="0"/>
          <w:iCs w:val="0"/>
          <w:caps w:val="0"/>
          <w:color w:val="333333"/>
          <w:spacing w:val="0"/>
          <w:kern w:val="0"/>
          <w:sz w:val="24"/>
          <w:szCs w:val="24"/>
          <w:bdr w:val="none" w:color="auto" w:sz="0" w:space="0"/>
          <w:shd w:val="clear" w:fill="FFFFFF"/>
          <w:lang w:val="en-US" w:eastAsia="zh-CN" w:bidi="ar"/>
        </w:rPr>
        <w:t>五、调剂生复试时间安排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jc w:val="left"/>
        <w:rPr>
          <w:color w:val="333333"/>
          <w:sz w:val="16"/>
          <w:szCs w:val="16"/>
        </w:rPr>
      </w:pP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     2023年硕士研究生招生调剂考生的复试工作采用现场复试方式进行（复试时间另行通知）。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firstLine="444"/>
        <w:jc w:val="left"/>
        <w:rPr>
          <w:color w:val="333333"/>
          <w:sz w:val="16"/>
          <w:szCs w:val="16"/>
        </w:rPr>
      </w:pP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我院将在全国硕士研究生招生信息网调剂服务系统上，对符合调剂要求的考生发送复试通知，考生须在调剂系统上及时确认是否同意接受并按要求参加我院的复试安排，考生未在规定时间内确认的，视同放弃。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jc w:val="left"/>
        <w:rPr>
          <w:color w:val="333333"/>
          <w:sz w:val="16"/>
          <w:szCs w:val="16"/>
        </w:rPr>
      </w:pPr>
      <w:r>
        <w:rPr>
          <w:rStyle w:val="7"/>
          <w:rFonts w:hint="default" w:ascii="fangsong_gb2312" w:hAnsi="fangsong_gb2312" w:eastAsia="fangsong_gb2312" w:cs="fangsong_gb2312"/>
          <w:b/>
          <w:bCs/>
          <w:i w:val="0"/>
          <w:iCs w:val="0"/>
          <w:caps w:val="0"/>
          <w:color w:val="333333"/>
          <w:spacing w:val="0"/>
          <w:kern w:val="0"/>
          <w:sz w:val="24"/>
          <w:szCs w:val="24"/>
          <w:bdr w:val="none" w:color="auto" w:sz="0" w:space="0"/>
          <w:shd w:val="clear" w:fill="FFFFFF"/>
          <w:lang w:val="en-US" w:eastAsia="zh-CN" w:bidi="ar"/>
        </w:rPr>
        <w:t>六、学院联系人及电话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firstLine="444"/>
        <w:jc w:val="left"/>
        <w:rPr>
          <w:color w:val="333333"/>
          <w:sz w:val="16"/>
          <w:szCs w:val="16"/>
        </w:rPr>
      </w:pP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联 系 人：蔡老师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firstLine="444"/>
        <w:jc w:val="left"/>
        <w:rPr>
          <w:color w:val="333333"/>
          <w:sz w:val="16"/>
          <w:szCs w:val="16"/>
        </w:rPr>
      </w:pP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联系电话：020-85285026-201（周一至周五：上午8:00-12:00，下午14:30-17:30）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jc w:val="left"/>
        <w:rPr>
          <w:color w:val="333333"/>
          <w:sz w:val="16"/>
          <w:szCs w:val="16"/>
        </w:rPr>
      </w:pP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21" w:lineRule="atLeast"/>
        <w:ind w:left="0" w:right="0"/>
        <w:jc w:val="left"/>
        <w:rPr>
          <w:color w:val="333333"/>
          <w:sz w:val="16"/>
          <w:szCs w:val="16"/>
        </w:rPr>
      </w:pP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20" w:afterAutospacing="0" w:line="21" w:lineRule="atLeast"/>
        <w:ind w:left="0" w:right="0"/>
        <w:jc w:val="right"/>
        <w:rPr>
          <w:color w:val="333333"/>
          <w:sz w:val="16"/>
          <w:szCs w:val="16"/>
        </w:rPr>
      </w:pPr>
      <w:r>
        <w:rPr>
          <w:rFonts w:hint="default" w:ascii="fangsong_gb2312" w:hAnsi="fangsong_gb2312" w:eastAsia="fangsong_gb2312" w:cs="fangsong_gb2312"/>
          <w:i w:val="0"/>
          <w:iCs w:val="0"/>
          <w:caps w:val="0"/>
          <w:color w:val="333333"/>
          <w:spacing w:val="0"/>
          <w:kern w:val="0"/>
          <w:sz w:val="24"/>
          <w:szCs w:val="24"/>
          <w:bdr w:val="none" w:color="auto" w:sz="0" w:space="0"/>
          <w:shd w:val="clear" w:fill="FFFFFF"/>
          <w:lang w:val="en-US" w:eastAsia="zh-CN" w:bidi="ar"/>
        </w:rPr>
        <w:t>     材料与能源学院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21" w:lineRule="atLeast"/>
        <w:ind w:left="0" w:right="0"/>
        <w:jc w:val="right"/>
        <w:rPr>
          <w:color w:val="333333"/>
          <w:sz w:val="16"/>
          <w:szCs w:val="16"/>
        </w:rPr>
      </w:pPr>
      <w:r>
        <w:rPr>
          <w:rFonts w:hint="default" w:ascii="fangsong_gb2312" w:hAnsi="fangsong_gb2312" w:eastAsia="fangsong_gb2312" w:cs="fangsong_gb2312"/>
          <w:i w:val="0"/>
          <w:iCs w:val="0"/>
          <w:caps w:val="0"/>
          <w:color w:val="333333"/>
          <w:spacing w:val="0"/>
          <w:sz w:val="24"/>
          <w:szCs w:val="24"/>
          <w:bdr w:val="none" w:color="auto" w:sz="0" w:space="0"/>
          <w:shd w:val="clear" w:fill="FFFFFF"/>
          <w:lang w:val="en-US"/>
        </w:rPr>
        <w:t>2023</w:t>
      </w:r>
      <w:r>
        <w:rPr>
          <w:rFonts w:hint="default" w:ascii="fangsong_gb2312" w:hAnsi="fangsong_gb2312" w:eastAsia="fangsong_gb2312" w:cs="fangsong_gb2312"/>
          <w:i w:val="0"/>
          <w:iCs w:val="0"/>
          <w:caps w:val="0"/>
          <w:color w:val="333333"/>
          <w:spacing w:val="0"/>
          <w:sz w:val="24"/>
          <w:szCs w:val="24"/>
          <w:bdr w:val="none" w:color="auto" w:sz="0" w:space="0"/>
          <w:shd w:val="clear" w:fill="FFFFFF"/>
        </w:rPr>
        <w:t>年</w:t>
      </w:r>
      <w:r>
        <w:rPr>
          <w:rFonts w:hint="default" w:ascii="fangsong_gb2312" w:hAnsi="fangsong_gb2312" w:eastAsia="fangsong_gb2312" w:cs="fangsong_gb2312"/>
          <w:i w:val="0"/>
          <w:iCs w:val="0"/>
          <w:caps w:val="0"/>
          <w:color w:val="333333"/>
          <w:spacing w:val="0"/>
          <w:sz w:val="24"/>
          <w:szCs w:val="24"/>
          <w:bdr w:val="none" w:color="auto" w:sz="0" w:space="0"/>
          <w:shd w:val="clear" w:fill="FFFFFF"/>
          <w:lang w:val="en-US"/>
        </w:rPr>
        <w:t>4</w:t>
      </w:r>
      <w:r>
        <w:rPr>
          <w:rFonts w:hint="default" w:ascii="fangsong_gb2312" w:hAnsi="fangsong_gb2312" w:eastAsia="fangsong_gb2312" w:cs="fangsong_gb2312"/>
          <w:i w:val="0"/>
          <w:iCs w:val="0"/>
          <w:caps w:val="0"/>
          <w:color w:val="333333"/>
          <w:spacing w:val="0"/>
          <w:sz w:val="24"/>
          <w:szCs w:val="24"/>
          <w:bdr w:val="none" w:color="auto" w:sz="0" w:space="0"/>
          <w:shd w:val="clear" w:fill="FFFFFF"/>
        </w:rPr>
        <w:t>月</w:t>
      </w:r>
      <w:r>
        <w:rPr>
          <w:rFonts w:hint="default" w:ascii="fangsong_gb2312" w:hAnsi="fangsong_gb2312" w:eastAsia="fangsong_gb2312" w:cs="fangsong_gb2312"/>
          <w:i w:val="0"/>
          <w:iCs w:val="0"/>
          <w:caps w:val="0"/>
          <w:color w:val="333333"/>
          <w:spacing w:val="0"/>
          <w:sz w:val="24"/>
          <w:szCs w:val="24"/>
          <w:bdr w:val="none" w:color="auto" w:sz="0" w:space="0"/>
          <w:shd w:val="clear" w:fill="FFFFFF"/>
          <w:lang w:val="en-US"/>
        </w:rPr>
        <w:t>20</w:t>
      </w:r>
      <w:r>
        <w:rPr>
          <w:rFonts w:hint="default" w:ascii="fangsong_gb2312" w:hAnsi="fangsong_gb2312" w:eastAsia="fangsong_gb2312" w:cs="fangsong_gb2312"/>
          <w:i w:val="0"/>
          <w:iCs w:val="0"/>
          <w:caps w:val="0"/>
          <w:color w:val="333333"/>
          <w:spacing w:val="0"/>
          <w:sz w:val="24"/>
          <w:szCs w:val="24"/>
          <w:bdr w:val="none" w:color="auto" w:sz="0" w:space="0"/>
          <w:shd w:val="clear" w:fill="FFFFFF"/>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fangsong_gb231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4MGMwYjhiZjFmMzJkYmEzMTU1NDVlZmJiYjVkZGUifQ=="/>
  </w:docVars>
  <w:rsids>
    <w:rsidRoot w:val="00000000"/>
    <w:rsid w:val="2BCF3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2023-04-23T08:05:56Z</dcterms:created>
  <dc:creator>DELL</dc:creator>
  <cp:lastModifiedBy>曾经的那个老吴</cp:lastModifiedBy>
  <dcterms:modified xsi:type="dcterms:W3CDTF">2023-04-23T08:05:58Z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0779CD230B5844C3B0BCB0423F1B6313_12</vt:lpwstr>
  </property>
</Properties>
</file>