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7695C5" w:sz="12" w:space="0"/>
          <w:right w:val="none" w:color="auto" w:sz="0" w:space="0"/>
        </w:pBdr>
        <w:spacing w:before="0" w:beforeAutospacing="0" w:after="0" w:afterAutospacing="0" w:line="600" w:lineRule="atLeast"/>
        <w:ind w:left="0" w:right="0"/>
        <w:rPr>
          <w:color w:val="4174C5"/>
          <w:sz w:val="24"/>
          <w:szCs w:val="24"/>
        </w:rPr>
      </w:pPr>
      <w:r>
        <w:rPr>
          <w:i w:val="0"/>
          <w:iCs w:val="0"/>
          <w:caps w:val="0"/>
          <w:color w:val="4174C5"/>
          <w:spacing w:val="0"/>
          <w:sz w:val="24"/>
          <w:szCs w:val="24"/>
          <w:bdr w:val="none" w:color="auto" w:sz="0" w:space="0"/>
        </w:rPr>
        <w:t>华南师范大学化学学院 2023年硕士研究生招生接收调剂生公告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pPr>
      <w:r>
        <w:rPr>
          <w:rFonts w:ascii="Arial" w:hAnsi="Arial" w:cs="Arial"/>
          <w:i w:val="0"/>
          <w:iCs w:val="0"/>
          <w:caps w:val="0"/>
          <w:color w:val="4174C5"/>
          <w:spacing w:val="0"/>
          <w:sz w:val="14"/>
          <w:szCs w:val="14"/>
          <w:u w:val="none"/>
          <w:bdr w:val="none" w:color="auto" w:sz="0" w:space="0"/>
        </w:rPr>
        <w:fldChar w:fldCharType="begin"/>
      </w:r>
      <w:r>
        <w:rPr>
          <w:rFonts w:ascii="Arial" w:hAnsi="Arial" w:cs="Arial"/>
          <w:i w:val="0"/>
          <w:iCs w:val="0"/>
          <w:caps w:val="0"/>
          <w:color w:val="4174C5"/>
          <w:spacing w:val="0"/>
          <w:sz w:val="14"/>
          <w:szCs w:val="14"/>
          <w:u w:val="none"/>
          <w:bdr w:val="none" w:color="auto" w:sz="0" w:space="0"/>
        </w:rPr>
        <w:instrText xml:space="preserve"> HYPERLINK "http://sce.scnu.edu.cn/" </w:instrText>
      </w:r>
      <w:r>
        <w:rPr>
          <w:rFonts w:ascii="Arial" w:hAnsi="Arial" w:cs="Arial"/>
          <w:i w:val="0"/>
          <w:iCs w:val="0"/>
          <w:caps w:val="0"/>
          <w:color w:val="4174C5"/>
          <w:spacing w:val="0"/>
          <w:sz w:val="14"/>
          <w:szCs w:val="14"/>
          <w:u w:val="none"/>
          <w:bdr w:val="none" w:color="auto" w:sz="0" w:space="0"/>
        </w:rPr>
        <w:fldChar w:fldCharType="separate"/>
      </w:r>
      <w:r>
        <w:rPr>
          <w:rStyle w:val="7"/>
          <w:rFonts w:hint="default" w:ascii="Arial" w:hAnsi="Arial" w:cs="Arial"/>
          <w:i w:val="0"/>
          <w:iCs w:val="0"/>
          <w:caps w:val="0"/>
          <w:color w:val="4174C5"/>
          <w:spacing w:val="0"/>
          <w:sz w:val="14"/>
          <w:szCs w:val="14"/>
          <w:u w:val="none"/>
          <w:bdr w:val="none" w:color="auto" w:sz="0" w:space="0"/>
        </w:rPr>
        <w:t>华南师范大学化学学院</w:t>
      </w:r>
      <w:r>
        <w:rPr>
          <w:rFonts w:hint="default" w:ascii="Arial" w:hAnsi="Arial" w:cs="Arial"/>
          <w:i w:val="0"/>
          <w:iCs w:val="0"/>
          <w:caps w:val="0"/>
          <w:color w:val="4174C5"/>
          <w:spacing w:val="0"/>
          <w:sz w:val="14"/>
          <w:szCs w:val="14"/>
          <w:u w:val="none"/>
          <w:bdr w:val="none" w:color="auto" w:sz="0" w:space="0"/>
        </w:rPr>
        <w:fldChar w:fldCharType="end"/>
      </w:r>
      <w:r>
        <w:rPr>
          <w:rFonts w:hint="default" w:ascii="Arial" w:hAnsi="Arial" w:cs="Arial"/>
          <w:i w:val="0"/>
          <w:iCs w:val="0"/>
          <w:caps w:val="0"/>
          <w:color w:val="3E474C"/>
          <w:spacing w:val="0"/>
          <w:sz w:val="14"/>
          <w:szCs w:val="14"/>
          <w:bdr w:val="none" w:color="auto" w:sz="0" w:space="0"/>
        </w:rPr>
        <w:t>/</w:t>
      </w:r>
      <w:r>
        <w:rPr>
          <w:rFonts w:hint="default" w:ascii="Arial" w:hAnsi="Arial" w:cs="Arial"/>
          <w:i w:val="0"/>
          <w:iCs w:val="0"/>
          <w:caps w:val="0"/>
          <w:color w:val="4174C5"/>
          <w:spacing w:val="0"/>
          <w:sz w:val="14"/>
          <w:szCs w:val="14"/>
          <w:u w:val="none"/>
          <w:bdr w:val="none" w:color="auto" w:sz="0" w:space="0"/>
        </w:rPr>
        <w:fldChar w:fldCharType="begin"/>
      </w:r>
      <w:r>
        <w:rPr>
          <w:rFonts w:hint="default" w:ascii="Arial" w:hAnsi="Arial" w:cs="Arial"/>
          <w:i w:val="0"/>
          <w:iCs w:val="0"/>
          <w:caps w:val="0"/>
          <w:color w:val="4174C5"/>
          <w:spacing w:val="0"/>
          <w:sz w:val="14"/>
          <w:szCs w:val="14"/>
          <w:u w:val="none"/>
          <w:bdr w:val="none" w:color="auto" w:sz="0" w:space="0"/>
        </w:rPr>
        <w:instrText xml:space="preserve"> HYPERLINK "http://sce.scnu.edu.cn/yanjiushengtongzhi/" </w:instrText>
      </w:r>
      <w:r>
        <w:rPr>
          <w:rFonts w:hint="default" w:ascii="Arial" w:hAnsi="Arial" w:cs="Arial"/>
          <w:i w:val="0"/>
          <w:iCs w:val="0"/>
          <w:caps w:val="0"/>
          <w:color w:val="4174C5"/>
          <w:spacing w:val="0"/>
          <w:sz w:val="14"/>
          <w:szCs w:val="14"/>
          <w:u w:val="none"/>
          <w:bdr w:val="none" w:color="auto" w:sz="0" w:space="0"/>
        </w:rPr>
        <w:fldChar w:fldCharType="separate"/>
      </w:r>
      <w:r>
        <w:rPr>
          <w:rStyle w:val="7"/>
          <w:rFonts w:hint="default" w:ascii="Arial" w:hAnsi="Arial" w:cs="Arial"/>
          <w:i w:val="0"/>
          <w:iCs w:val="0"/>
          <w:caps w:val="0"/>
          <w:color w:val="4174C5"/>
          <w:spacing w:val="0"/>
          <w:sz w:val="14"/>
          <w:szCs w:val="14"/>
          <w:u w:val="none"/>
          <w:bdr w:val="none" w:color="auto" w:sz="0" w:space="0"/>
        </w:rPr>
        <w:t>研究生通知</w:t>
      </w:r>
      <w:r>
        <w:rPr>
          <w:rFonts w:hint="default" w:ascii="Arial" w:hAnsi="Arial" w:cs="Arial"/>
          <w:i w:val="0"/>
          <w:iCs w:val="0"/>
          <w:caps w:val="0"/>
          <w:color w:val="4174C5"/>
          <w:spacing w:val="0"/>
          <w:sz w:val="14"/>
          <w:szCs w:val="14"/>
          <w:u w:val="none"/>
          <w:bdr w:val="none" w:color="auto" w:sz="0" w:space="0"/>
        </w:rPr>
        <w:fldChar w:fldCharType="end"/>
      </w:r>
      <w:r>
        <w:rPr>
          <w:rFonts w:hint="default" w:ascii="Arial" w:hAnsi="Arial" w:cs="Arial"/>
          <w:i w:val="0"/>
          <w:iCs w:val="0"/>
          <w:caps w:val="0"/>
          <w:color w:val="3E474C"/>
          <w:spacing w:val="0"/>
          <w:sz w:val="14"/>
          <w:szCs w:val="14"/>
          <w:bdr w:val="none" w:color="auto" w:sz="0" w:space="0"/>
        </w:rPr>
        <w:t> 2023-04-04 09:20:22 来源：华南师范大学化学学院 点击：15555 </w:t>
      </w:r>
      <w:r>
        <w:rPr>
          <w:rFonts w:hint="default" w:ascii="Arial" w:hAnsi="Arial" w:cs="Arial"/>
          <w:i w:val="0"/>
          <w:iCs w:val="0"/>
          <w:caps w:val="0"/>
          <w:color w:val="4174C5"/>
          <w:spacing w:val="0"/>
          <w:sz w:val="14"/>
          <w:szCs w:val="14"/>
          <w:u w:val="none"/>
          <w:bdr w:val="none" w:color="auto" w:sz="0" w:space="0"/>
        </w:rPr>
        <w:fldChar w:fldCharType="begin"/>
      </w:r>
      <w:r>
        <w:rPr>
          <w:rFonts w:hint="default" w:ascii="Arial" w:hAnsi="Arial" w:cs="Arial"/>
          <w:i w:val="0"/>
          <w:iCs w:val="0"/>
          <w:caps w:val="0"/>
          <w:color w:val="4174C5"/>
          <w:spacing w:val="0"/>
          <w:sz w:val="14"/>
          <w:szCs w:val="14"/>
          <w:u w:val="none"/>
          <w:bdr w:val="none" w:color="auto" w:sz="0" w:space="0"/>
        </w:rPr>
        <w:instrText xml:space="preserve"> HYPERLINK "javascript:;" </w:instrText>
      </w:r>
      <w:r>
        <w:rPr>
          <w:rFonts w:hint="default" w:ascii="Arial" w:hAnsi="Arial" w:cs="Arial"/>
          <w:i w:val="0"/>
          <w:iCs w:val="0"/>
          <w:caps w:val="0"/>
          <w:color w:val="4174C5"/>
          <w:spacing w:val="0"/>
          <w:sz w:val="14"/>
          <w:szCs w:val="14"/>
          <w:u w:val="none"/>
          <w:bdr w:val="none" w:color="auto" w:sz="0" w:space="0"/>
        </w:rPr>
        <w:fldChar w:fldCharType="separate"/>
      </w:r>
      <w:r>
        <w:rPr>
          <w:rStyle w:val="7"/>
          <w:rFonts w:hint="default" w:ascii="Arial" w:hAnsi="Arial" w:cs="Arial"/>
          <w:i w:val="0"/>
          <w:iCs w:val="0"/>
          <w:caps w:val="0"/>
          <w:color w:val="4174C5"/>
          <w:spacing w:val="0"/>
          <w:sz w:val="14"/>
          <w:szCs w:val="14"/>
          <w:u w:val="none"/>
          <w:bdr w:val="none" w:color="auto" w:sz="0" w:space="0"/>
        </w:rPr>
        <w:t>收藏本文</w:t>
      </w:r>
      <w:r>
        <w:rPr>
          <w:rFonts w:hint="default" w:ascii="Arial" w:hAnsi="Arial" w:cs="Arial"/>
          <w:i w:val="0"/>
          <w:iCs w:val="0"/>
          <w:caps w:val="0"/>
          <w:color w:val="4174C5"/>
          <w:spacing w:val="0"/>
          <w:sz w:val="14"/>
          <w:szCs w:val="1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80"/>
        <w:jc w:val="both"/>
      </w:pPr>
      <w:r>
        <w:rPr>
          <w:rFonts w:ascii="楷体" w:hAnsi="楷体" w:eastAsia="楷体" w:cs="楷体"/>
          <w:i w:val="0"/>
          <w:iCs w:val="0"/>
          <w:caps w:val="0"/>
          <w:color w:val="3E474C"/>
          <w:spacing w:val="0"/>
          <w:sz w:val="24"/>
          <w:szCs w:val="24"/>
          <w:bdr w:val="none" w:color="auto" w:sz="0" w:space="0"/>
          <w:shd w:val="clear" w:fill="FFFFFF"/>
        </w:rPr>
        <w:t>华南师范大学化学学院前身可追溯到</w:t>
      </w:r>
      <w:r>
        <w:rPr>
          <w:rFonts w:hint="eastAsia" w:ascii="楷体" w:hAnsi="楷体" w:eastAsia="楷体" w:cs="楷体"/>
          <w:i w:val="0"/>
          <w:iCs w:val="0"/>
          <w:caps w:val="0"/>
          <w:color w:val="3E474C"/>
          <w:spacing w:val="0"/>
          <w:sz w:val="24"/>
          <w:szCs w:val="24"/>
          <w:bdr w:val="none" w:color="auto" w:sz="0" w:space="0"/>
          <w:shd w:val="clear" w:fill="FFFFFF"/>
        </w:rPr>
        <w:t>1933年省立勷勤大学师范学院数理化系的化学专业，是学校历史最悠久的专业和学系之一。1947年2月升格为省立文理学院化学系，1951年改建为华南师范学院化学系。2005年1月化学系整体搬迁至广州大学城，并在此基础上成立化学学院。2019年5月，学校调整学科布局，成立化学学院。学院培养的本科生和研究生涉及三个学科门类(理学、工学、教育学)和三个一级学科(化学、材料、教育)，是研究教学型的理工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80"/>
        <w:jc w:val="both"/>
      </w:pPr>
      <w:r>
        <w:rPr>
          <w:rFonts w:hint="eastAsia" w:ascii="楷体" w:hAnsi="楷体" w:eastAsia="楷体" w:cs="楷体"/>
          <w:i w:val="0"/>
          <w:iCs w:val="0"/>
          <w:caps w:val="0"/>
          <w:color w:val="3E474C"/>
          <w:spacing w:val="0"/>
          <w:sz w:val="24"/>
          <w:szCs w:val="24"/>
          <w:bdr w:val="none" w:color="auto" w:sz="0" w:space="0"/>
          <w:shd w:val="clear" w:fill="FFFFFF"/>
        </w:rPr>
        <w:t>通过整合化学、材料等相关学科方向，化学学科2008年整体进入国家“211工程”三期重点建设学科序列、2015年进入广东省高水平大学重点建设学科(第一期)、2018年入选广东省“冲补强”提升计划重点建设学科(第二期)。化学学科ESI全球排名前2.914‰(截止2023年1月)，教育部第五轮学科评估结果为B，是广东省优势重点建设学科。同时，化学学院也是学校材料科学、工程学进入ESI全球排名1%的主要贡献者。欢迎广大考生选择报考我院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84"/>
        <w:jc w:val="both"/>
      </w:pPr>
      <w:r>
        <w:rPr>
          <w:rStyle w:val="6"/>
          <w:rFonts w:hint="eastAsia" w:ascii="楷体" w:hAnsi="楷体" w:eastAsia="楷体" w:cs="楷体"/>
          <w:i w:val="0"/>
          <w:iCs w:val="0"/>
          <w:caps w:val="0"/>
          <w:color w:val="3E474C"/>
          <w:spacing w:val="0"/>
          <w:sz w:val="24"/>
          <w:szCs w:val="24"/>
          <w:bdr w:val="none" w:color="auto" w:sz="0" w:space="0"/>
          <w:shd w:val="clear" w:fill="FFFFFF"/>
        </w:rPr>
        <w:t>一、我院下列专业接收硕士调剂生：</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00"/>
        <w:gridCol w:w="1824"/>
        <w:gridCol w:w="1500"/>
        <w:gridCol w:w="283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76" w:hRule="atLeast"/>
        </w:trPr>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序号</w:t>
            </w:r>
          </w:p>
        </w:tc>
        <w:tc>
          <w:tcPr>
            <w:tcW w:w="1824"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类型</w:t>
            </w: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专业代码</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专业名称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1</w:t>
            </w:r>
          </w:p>
        </w:tc>
        <w:tc>
          <w:tcPr>
            <w:tcW w:w="1824" w:type="dxa"/>
            <w:vMerge w:val="restart"/>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学术型</w:t>
            </w: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040102</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课程与教学论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2</w:t>
            </w:r>
          </w:p>
        </w:tc>
        <w:tc>
          <w:tcPr>
            <w:tcW w:w="1824" w:type="dxa"/>
            <w:vMerge w:val="continue"/>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宋体"/>
                <w:sz w:val="24"/>
                <w:szCs w:val="24"/>
              </w:rPr>
            </w:pP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070301</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无机化学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3</w:t>
            </w:r>
          </w:p>
        </w:tc>
        <w:tc>
          <w:tcPr>
            <w:tcW w:w="1824" w:type="dxa"/>
            <w:vMerge w:val="continue"/>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宋体"/>
                <w:sz w:val="24"/>
                <w:szCs w:val="24"/>
              </w:rPr>
            </w:pP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070302</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分析化学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4</w:t>
            </w:r>
          </w:p>
        </w:tc>
        <w:tc>
          <w:tcPr>
            <w:tcW w:w="1824" w:type="dxa"/>
            <w:vMerge w:val="continue"/>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宋体"/>
                <w:sz w:val="24"/>
                <w:szCs w:val="24"/>
              </w:rPr>
            </w:pP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070303</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有机化学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5</w:t>
            </w:r>
          </w:p>
        </w:tc>
        <w:tc>
          <w:tcPr>
            <w:tcW w:w="1824" w:type="dxa"/>
            <w:vMerge w:val="continue"/>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宋体"/>
                <w:sz w:val="24"/>
                <w:szCs w:val="24"/>
              </w:rPr>
            </w:pP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070305</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高分子化学与物理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6</w:t>
            </w:r>
          </w:p>
        </w:tc>
        <w:tc>
          <w:tcPr>
            <w:tcW w:w="1824" w:type="dxa"/>
            <w:vMerge w:val="continue"/>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宋体"/>
                <w:sz w:val="24"/>
                <w:szCs w:val="24"/>
              </w:rPr>
            </w:pP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080501</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0"/>
              <w:jc w:val="center"/>
            </w:pPr>
            <w:r>
              <w:rPr>
                <w:rFonts w:hint="eastAsia" w:ascii="楷体" w:hAnsi="楷体" w:eastAsia="楷体" w:cs="楷体"/>
                <w:color w:val="3E474C"/>
                <w:spacing w:val="0"/>
                <w:sz w:val="24"/>
                <w:szCs w:val="24"/>
                <w:bdr w:val="none" w:color="auto" w:sz="0" w:space="0"/>
              </w:rPr>
              <w:t>材料物理与化学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7</w:t>
            </w:r>
          </w:p>
        </w:tc>
        <w:tc>
          <w:tcPr>
            <w:tcW w:w="1824" w:type="dxa"/>
            <w:vMerge w:val="continue"/>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宋体"/>
                <w:sz w:val="24"/>
                <w:szCs w:val="24"/>
              </w:rPr>
            </w:pP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100701</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药物化学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8</w:t>
            </w:r>
          </w:p>
        </w:tc>
        <w:tc>
          <w:tcPr>
            <w:tcW w:w="1824" w:type="dxa"/>
            <w:vMerge w:val="restart"/>
            <w:tcBorders>
              <w:top w:val="outset"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专业型</w:t>
            </w: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045106</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学科教学（化学）02方向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6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9</w:t>
            </w:r>
          </w:p>
        </w:tc>
        <w:tc>
          <w:tcPr>
            <w:tcW w:w="1824" w:type="dxa"/>
            <w:vMerge w:val="continue"/>
            <w:tcBorders>
              <w:top w:val="outset"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rPr>
                <w:rFonts w:hint="eastAsia" w:ascii="宋体"/>
                <w:sz w:val="24"/>
                <w:szCs w:val="24"/>
              </w:rPr>
            </w:pPr>
          </w:p>
        </w:tc>
        <w:tc>
          <w:tcPr>
            <w:tcW w:w="1500"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085600</w:t>
            </w:r>
          </w:p>
        </w:tc>
        <w:tc>
          <w:tcPr>
            <w:tcW w:w="283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center"/>
            </w:pPr>
            <w:r>
              <w:rPr>
                <w:rFonts w:hint="eastAsia" w:ascii="楷体" w:hAnsi="楷体" w:eastAsia="楷体" w:cs="楷体"/>
                <w:color w:val="3E474C"/>
                <w:spacing w:val="0"/>
                <w:sz w:val="24"/>
                <w:szCs w:val="24"/>
                <w:bdr w:val="none" w:color="auto" w:sz="0" w:space="0"/>
              </w:rPr>
              <w:t>材料与化工</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336" w:right="0" w:firstLine="0"/>
        <w:jc w:val="both"/>
      </w:pPr>
      <w:r>
        <w:rPr>
          <w:rFonts w:hint="eastAsia" w:ascii="楷体" w:hAnsi="楷体" w:eastAsia="楷体" w:cs="楷体"/>
          <w:i w:val="0"/>
          <w:iCs w:val="0"/>
          <w:caps w:val="0"/>
          <w:color w:val="3E474C"/>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Style w:val="6"/>
          <w:rFonts w:hint="eastAsia" w:ascii="楷体" w:hAnsi="楷体" w:eastAsia="楷体" w:cs="楷体"/>
          <w:i w:val="0"/>
          <w:iCs w:val="0"/>
          <w:caps w:val="0"/>
          <w:color w:val="3E474C"/>
          <w:spacing w:val="0"/>
          <w:sz w:val="24"/>
          <w:szCs w:val="24"/>
          <w:bdr w:val="none" w:color="auto" w:sz="0" w:space="0"/>
          <w:shd w:val="clear" w:fill="FFFFFF"/>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1.申请调剂的考生必须达到报考第一志愿学科门类（学科专业代码）教育部公布的A类地区复试最低分数基本要求（含单科和总分）。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2.拟调入的专业与第一志愿报考专业相同或相近；应在同一学科门类范围内（专业代码前两位相同）。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3.调入专业与第一志愿报考专业的统考科目（主要指数学、外语）应相同，或由难度高的调入难度低的。说明：(1) 没有考数学的考生不能调入考数学的专业；(2) 考英语一的考生可调入考英语二的专业，考数学一的考生可调入考数学二的专业。反之不可。自命题科目应为相同或相近学科。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84"/>
        <w:jc w:val="both"/>
      </w:pPr>
      <w:r>
        <w:rPr>
          <w:rFonts w:hint="eastAsia" w:ascii="楷体" w:hAnsi="楷体" w:eastAsia="楷体" w:cs="楷体"/>
          <w:i w:val="0"/>
          <w:iCs w:val="0"/>
          <w:caps w:val="0"/>
          <w:color w:val="3E474C"/>
          <w:spacing w:val="0"/>
          <w:sz w:val="24"/>
          <w:szCs w:val="24"/>
          <w:bdr w:val="none" w:color="auto" w:sz="0" w:space="0"/>
          <w:shd w:val="clear" w:fill="FFFFFF"/>
        </w:rPr>
        <w:t> 4.考生须确保所提供信息真实，须确认不能被第一志愿单位录取。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84"/>
        <w:jc w:val="both"/>
      </w:pPr>
      <w:r>
        <w:rPr>
          <w:rFonts w:hint="eastAsia" w:ascii="楷体" w:hAnsi="楷体" w:eastAsia="楷体" w:cs="楷体"/>
          <w:i w:val="0"/>
          <w:iCs w:val="0"/>
          <w:caps w:val="0"/>
          <w:color w:val="3E474C"/>
          <w:spacing w:val="0"/>
          <w:sz w:val="24"/>
          <w:szCs w:val="24"/>
          <w:bdr w:val="none" w:color="auto" w:sz="0" w:space="0"/>
          <w:shd w:val="clear" w:fill="FFFFFF"/>
        </w:rPr>
        <w:t>三</w:t>
      </w:r>
      <w:r>
        <w:rPr>
          <w:rStyle w:val="6"/>
          <w:rFonts w:hint="eastAsia" w:ascii="楷体" w:hAnsi="楷体" w:eastAsia="楷体" w:cs="楷体"/>
          <w:i w:val="0"/>
          <w:iCs w:val="0"/>
          <w:caps w:val="0"/>
          <w:color w:val="333333"/>
          <w:spacing w:val="0"/>
          <w:sz w:val="24"/>
          <w:szCs w:val="24"/>
          <w:bdr w:val="none" w:color="auto" w:sz="0" w:space="0"/>
          <w:shd w:val="clear" w:fill="FFFFFF"/>
        </w:rPr>
        <w:t>、接收调剂流程与申请时间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1、所有的调剂必须在研招网调剂系统4月6日开通后才能正式进行。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2、考生登录调剂系统查询相关调剂信息，并提交调剂申请。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Style w:val="6"/>
          <w:rFonts w:hint="eastAsia" w:ascii="楷体" w:hAnsi="楷体" w:eastAsia="楷体" w:cs="楷体"/>
          <w:i w:val="0"/>
          <w:iCs w:val="0"/>
          <w:caps w:val="0"/>
          <w:color w:val="3E474C"/>
          <w:spacing w:val="0"/>
          <w:sz w:val="24"/>
          <w:szCs w:val="24"/>
          <w:bdr w:val="none" w:color="auto" w:sz="0" w:space="0"/>
          <w:shd w:val="clear" w:fill="FFFFFF"/>
        </w:rPr>
        <w:t>四、调剂说明：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1.请各位考生在国家系统报名前确认自身符合国家和我校调剂的各项要求与条件，以免浪费志愿。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2.我院收到考生申请后将从国家系统导出数据发给各个专业指导组研究讨论。系统中显示志愿“已读”或“未读”均不代表专业指导组已经或没有阅读考生资料。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3.考生在调剂系统填报调剂志愿至我院相应的专业及方向，我院按相关规定要求确定复试名单，电话通知考生（考生须保持通讯畅通），并在调剂系统向拟进入调剂复试名单的考生发送复试通知，考生须在规定时间接受调剂系统复试通知，并按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4、今年我院复试采用线上形式进行，后续复试安排请密切关注我院官网发布的有关公告。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5、调剂考生按申请调入我院的复试方案进行复试。复试后，我院将根据考生初试成绩和复试成绩进行综合排名，确定是否待录取，并在调剂系统向待录取的调剂生发送待录取通知，待录取的调剂生需在规定时间内登录调剂系统确认同意待录取结果。未经过调剂系统调剂或未在网上调剂系统确认接受待录取结果的调剂考生，不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Style w:val="6"/>
          <w:rFonts w:hint="eastAsia" w:ascii="楷体" w:hAnsi="楷体" w:eastAsia="楷体" w:cs="楷体"/>
          <w:i w:val="0"/>
          <w:iCs w:val="0"/>
          <w:caps w:val="0"/>
          <w:color w:val="3E474C"/>
          <w:spacing w:val="0"/>
          <w:sz w:val="24"/>
          <w:szCs w:val="24"/>
          <w:bdr w:val="none" w:color="auto" w:sz="0" w:space="0"/>
          <w:shd w:val="clear" w:fill="FFFFFF"/>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具体安排请留意我院官网的复试通知（http://sce.scnu.edu.cn/）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联系电话：020-39310380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地址：华南师范大学大学城校区行政楼C207办公室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336"/>
        <w:jc w:val="both"/>
      </w:pPr>
      <w:r>
        <w:rPr>
          <w:rFonts w:hint="eastAsia" w:ascii="楷体" w:hAnsi="楷体" w:eastAsia="楷体" w:cs="楷体"/>
          <w:i w:val="0"/>
          <w:iCs w:val="0"/>
          <w:caps w:val="0"/>
          <w:color w:val="3E474C"/>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224"/>
        <w:jc w:val="right"/>
      </w:pPr>
      <w:r>
        <w:rPr>
          <w:rFonts w:hint="eastAsia" w:ascii="楷体" w:hAnsi="楷体" w:eastAsia="楷体" w:cs="楷体"/>
          <w:i w:val="0"/>
          <w:iCs w:val="0"/>
          <w:caps w:val="0"/>
          <w:color w:val="3E474C"/>
          <w:spacing w:val="0"/>
          <w:sz w:val="24"/>
          <w:szCs w:val="24"/>
          <w:bdr w:val="none" w:color="auto" w:sz="0" w:space="0"/>
          <w:shd w:val="clear" w:fill="FFFFFF"/>
        </w:rPr>
        <w:t>华南师范大学化学学院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4416"/>
        <w:jc w:val="right"/>
      </w:pPr>
      <w:r>
        <w:rPr>
          <w:rFonts w:hint="eastAsia" w:ascii="楷体" w:hAnsi="楷体" w:eastAsia="楷体" w:cs="楷体"/>
          <w:i w:val="0"/>
          <w:iCs w:val="0"/>
          <w:caps w:val="0"/>
          <w:color w:val="3E474C"/>
          <w:spacing w:val="0"/>
          <w:sz w:val="24"/>
          <w:szCs w:val="24"/>
          <w:bdr w:val="none" w:color="auto" w:sz="0" w:space="0"/>
          <w:shd w:val="clear" w:fill="FFFFFF"/>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4496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1399</Words>
  <Characters>1556</Characters>
  <Lines>0</Lines>
  <Paragraphs>0</Paragraphs>
  <TotalTime>0</TotalTime>
  <ScaleCrop>false</ScaleCrop>
  <LinksUpToDate>false</LinksUpToDate>
  <CharactersWithSpaces>1578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2023-04-24T08:55:12Z</dcterms:created>
  <dc:creator>DELL</dc:creator>
  <cp:lastModifiedBy>曾经的那个老吴</cp:lastModifiedBy>
  <dcterms:modified xsi:type="dcterms:W3CDTF">2023-04-24T08:55:14Z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5199B409570C4341BD9E5BFF5725D37D_12</vt:lpwstr>
  </property>
</Properties>
</file>