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D4D2D2" w:sz="4" w:space="0"/>
          <w:right w:val="none" w:color="auto" w:sz="0" w:space="0"/>
        </w:pBdr>
        <w:shd w:val="clear" w:fill="FFFFFF"/>
        <w:spacing w:before="0" w:beforeAutospacing="0" w:after="0" w:afterAutospacing="0" w:line="264" w:lineRule="atLeast"/>
        <w:ind w:left="240" w:right="0" w:firstLine="0"/>
        <w:jc w:val="left"/>
        <w:rPr>
          <w:rFonts w:ascii="微软雅黑" w:hAnsi="微软雅黑" w:eastAsia="微软雅黑" w:cs="微软雅黑"/>
          <w:b/>
          <w:bCs/>
          <w:i w:val="0"/>
          <w:iCs w:val="0"/>
          <w:caps w:val="0"/>
          <w:color w:val="3B3736"/>
          <w:spacing w:val="0"/>
          <w:sz w:val="26"/>
          <w:szCs w:val="26"/>
        </w:rPr>
      </w:pPr>
      <w:r>
        <w:rPr>
          <w:rFonts w:hint="eastAsia" w:ascii="微软雅黑" w:hAnsi="微软雅黑" w:eastAsia="微软雅黑" w:cs="微软雅黑"/>
          <w:b/>
          <w:bCs/>
          <w:i w:val="0"/>
          <w:iCs w:val="0"/>
          <w:caps w:val="0"/>
          <w:color w:val="3B3736"/>
          <w:spacing w:val="0"/>
          <w:kern w:val="0"/>
          <w:sz w:val="26"/>
          <w:szCs w:val="26"/>
          <w:bdr w:val="none" w:color="auto" w:sz="0" w:space="0"/>
          <w:shd w:val="clear" w:fill="FFFFFF"/>
          <w:lang w:val="en-US" w:eastAsia="zh-CN" w:bidi="ar"/>
        </w:rPr>
        <w:t>2023年华南师范大学教育信息技术学院硕士研究生招生复试调剂办法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B3736"/>
          <w:spacing w:val="0"/>
          <w:sz w:val="20"/>
          <w:szCs w:val="20"/>
        </w:rPr>
      </w:pPr>
      <w:r>
        <w:rPr>
          <w:rStyle w:val="5"/>
          <w:rFonts w:hint="eastAsia" w:ascii="微软雅黑" w:hAnsi="微软雅黑" w:eastAsia="微软雅黑" w:cs="微软雅黑"/>
          <w:i w:val="0"/>
          <w:iCs w:val="0"/>
          <w:caps w:val="0"/>
          <w:color w:val="3B3736"/>
          <w:spacing w:val="0"/>
          <w:kern w:val="0"/>
          <w:sz w:val="20"/>
          <w:szCs w:val="20"/>
          <w:bdr w:val="none" w:color="auto" w:sz="0" w:space="0"/>
          <w:shd w:val="clear" w:fill="FFFFFF"/>
          <w:lang w:val="en-US" w:eastAsia="zh-CN" w:bidi="ar"/>
        </w:rPr>
        <w:t>当前位置：</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"http://site.scnu.edu.cn/"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8"/>
          <w:szCs w:val="18"/>
          <w:u w:val="none"/>
          <w:bdr w:val="none" w:color="auto" w:sz="0" w:space="0"/>
          <w:shd w:val="clear" w:fill="FFFFFF"/>
        </w:rPr>
        <w:t>主页</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B3736"/>
          <w:spacing w:val="0"/>
          <w:kern w:val="0"/>
          <w:sz w:val="20"/>
          <w:szCs w:val="20"/>
          <w:bdr w:val="none" w:color="auto" w:sz="0" w:space="0"/>
          <w:shd w:val="clear" w:fill="FFFFFF"/>
          <w:lang w:val="en-US" w:eastAsia="zh-CN" w:bidi="ar"/>
        </w:rPr>
        <w:t> »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"http://site.scnu.edu.cn/yjspy/"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8"/>
          <w:szCs w:val="18"/>
          <w:u w:val="none"/>
          <w:bdr w:val="none" w:color="auto" w:sz="0" w:space="0"/>
          <w:shd w:val="clear" w:fill="FFFFFF"/>
        </w:rPr>
        <w:t>研究生培养</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B3736"/>
          <w:spacing w:val="0"/>
          <w:kern w:val="0"/>
          <w:sz w:val="20"/>
          <w:szCs w:val="20"/>
          <w:bdr w:val="none" w:color="auto" w:sz="0" w:space="0"/>
          <w:shd w:val="clear" w:fill="FFFFFF"/>
          <w:lang w:val="en-US" w:eastAsia="zh-CN" w:bidi="ar"/>
        </w:rPr>
        <w:t> » </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instrText xml:space="preserve"> HYPERLINK "http://site.scnu.edu.cn/yjspy/tzgg/" </w:instrTex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333333"/>
          <w:spacing w:val="0"/>
          <w:sz w:val="18"/>
          <w:szCs w:val="18"/>
          <w:u w:val="none"/>
          <w:bdr w:val="none" w:color="auto" w:sz="0" w:space="0"/>
          <w:shd w:val="clear" w:fill="FFFFFF"/>
        </w:rPr>
        <w:t>通知公告</w:t>
      </w:r>
      <w:r>
        <w:rPr>
          <w:rFonts w:hint="eastAsia" w:ascii="微软雅黑" w:hAnsi="微软雅黑" w:eastAsia="微软雅黑" w:cs="微软雅黑"/>
          <w:i w:val="0"/>
          <w:iCs w:val="0"/>
          <w:caps w:val="0"/>
          <w:color w:val="333333"/>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B3736"/>
          <w:spacing w:val="0"/>
          <w:kern w:val="0"/>
          <w:sz w:val="20"/>
          <w:szCs w:val="20"/>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86" w:afterAutospacing="0" w:line="312" w:lineRule="atLeast"/>
        <w:ind w:left="0" w:right="0" w:firstLine="420"/>
        <w:jc w:val="center"/>
        <w:rPr>
          <w:color w:val="444444"/>
        </w:rPr>
      </w:pPr>
      <w:r>
        <w:rPr>
          <w:rFonts w:hint="eastAsia" w:ascii="微软雅黑" w:hAnsi="微软雅黑" w:eastAsia="微软雅黑" w:cs="微软雅黑"/>
          <w:i w:val="0"/>
          <w:iCs w:val="0"/>
          <w:caps w:val="0"/>
          <w:color w:val="444444"/>
          <w:spacing w:val="0"/>
          <w:sz w:val="16"/>
          <w:szCs w:val="16"/>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86" w:afterAutospacing="0" w:line="312" w:lineRule="atLeast"/>
        <w:ind w:left="0" w:right="0" w:firstLine="420"/>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本院的调剂在研招网调剂系统（</w: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instrText xml:space="preserve"> HYPERLINK "http://yz.chsi.com.cn/" </w:instrTex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separate"/>
      </w:r>
      <w:r>
        <w:rPr>
          <w:rStyle w:val="6"/>
          <w:rFonts w:hint="eastAsia" w:ascii="宋体" w:hAnsi="宋体" w:eastAsia="宋体" w:cs="宋体"/>
          <w:i w:val="0"/>
          <w:iCs w:val="0"/>
          <w:caps w:val="0"/>
          <w:color w:val="333333"/>
          <w:spacing w:val="0"/>
          <w:sz w:val="16"/>
          <w:szCs w:val="16"/>
          <w:u w:val="single"/>
          <w:bdr w:val="none" w:color="auto" w:sz="0" w:space="0"/>
          <w:shd w:val="clear" w:fill="FFFFFF"/>
        </w:rPr>
        <w:t>http://yz.chsi.com.cn/</w: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end"/>
      </w:r>
      <w:r>
        <w:rPr>
          <w:rFonts w:hint="eastAsia" w:ascii="宋体" w:hAnsi="宋体" w:eastAsia="宋体" w:cs="宋体"/>
          <w:i w:val="0"/>
          <w:iCs w:val="0"/>
          <w:caps w:val="0"/>
          <w:color w:val="3F464C"/>
          <w:spacing w:val="0"/>
          <w:sz w:val="19"/>
          <w:szCs w:val="19"/>
          <w:bdr w:val="none" w:color="auto" w:sz="0" w:space="0"/>
          <w:shd w:val="clear" w:fill="FFFFFF"/>
        </w:rPr>
        <w:t>）开通后才正式进行。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420"/>
        <w:jc w:val="both"/>
        <w:rPr>
          <w:color w:val="444444"/>
        </w:rPr>
      </w:pPr>
      <w:r>
        <w:rPr>
          <w:rStyle w:val="5"/>
          <w:rFonts w:ascii="黑体" w:hAnsi="宋体" w:eastAsia="黑体" w:cs="黑体"/>
          <w:b/>
          <w:bCs/>
          <w:i w:val="0"/>
          <w:iCs w:val="0"/>
          <w:caps w:val="0"/>
          <w:color w:val="3F464C"/>
          <w:spacing w:val="0"/>
          <w:sz w:val="22"/>
          <w:szCs w:val="22"/>
          <w:bdr w:val="none" w:color="auto" w:sz="0" w:space="0"/>
          <w:shd w:val="clear" w:fill="FFFFFF"/>
        </w:rPr>
        <w:t>一、需要调剂生的专业名称和代码</w:t>
      </w:r>
    </w:p>
    <w:tbl>
      <w:tblPr>
        <w:tblW w:w="7068" w:type="dxa"/>
        <w:tblInd w:w="0" w:type="dxa"/>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727"/>
        <w:gridCol w:w="1454"/>
        <w:gridCol w:w="3878"/>
        <w:gridCol w:w="1009"/>
      </w:tblGrid>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36" w:hRule="atLeast"/>
        </w:trPr>
        <w:tc>
          <w:tcPr>
            <w:tcW w:w="684" w:type="dxa"/>
            <w:tcBorders>
              <w:top w:val="single" w:color="auto" w:sz="4" w:space="0"/>
              <w:left w:val="single" w:color="auto" w:sz="4" w:space="0"/>
              <w:bottom w:val="single" w:color="666666" w:sz="4" w:space="0"/>
              <w:right w:val="single" w:color="666666" w:sz="4" w:space="0"/>
            </w:tcBorders>
            <w:shd w:val="clear" w:color="auto" w:fill="D8D8D8"/>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Style w:val="5"/>
                <w:rFonts w:hint="eastAsia" w:ascii="宋体" w:hAnsi="宋体" w:eastAsia="宋体" w:cs="宋体"/>
                <w:b/>
                <w:bCs/>
                <w:color w:val="444444"/>
                <w:sz w:val="19"/>
                <w:szCs w:val="19"/>
                <w:bdr w:val="none" w:color="auto" w:sz="0" w:space="0"/>
              </w:rPr>
              <w:t>序号</w:t>
            </w:r>
          </w:p>
        </w:tc>
        <w:tc>
          <w:tcPr>
            <w:tcW w:w="1368" w:type="dxa"/>
            <w:tcBorders>
              <w:top w:val="single" w:color="auto" w:sz="4" w:space="0"/>
              <w:left w:val="single" w:color="auto" w:sz="4" w:space="0"/>
              <w:bottom w:val="single" w:color="666666" w:sz="4" w:space="0"/>
              <w:right w:val="single" w:color="666666" w:sz="4" w:space="0"/>
            </w:tcBorders>
            <w:shd w:val="clear" w:color="auto" w:fill="D8D8D8"/>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Style w:val="5"/>
                <w:rFonts w:hint="eastAsia" w:ascii="宋体" w:hAnsi="宋体" w:eastAsia="宋体" w:cs="宋体"/>
                <w:b/>
                <w:bCs/>
                <w:color w:val="444444"/>
                <w:sz w:val="19"/>
                <w:szCs w:val="19"/>
                <w:bdr w:val="none" w:color="auto" w:sz="0" w:space="0"/>
              </w:rPr>
              <w:t>专业代码</w:t>
            </w:r>
          </w:p>
        </w:tc>
        <w:tc>
          <w:tcPr>
            <w:tcW w:w="3648" w:type="dxa"/>
            <w:tcBorders>
              <w:top w:val="single" w:color="auto" w:sz="4" w:space="0"/>
              <w:left w:val="single" w:color="auto" w:sz="4" w:space="0"/>
              <w:bottom w:val="single" w:color="666666" w:sz="4" w:space="0"/>
              <w:right w:val="single" w:color="666666" w:sz="4" w:space="0"/>
            </w:tcBorders>
            <w:shd w:val="clear" w:color="auto" w:fill="D8D8D8"/>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Style w:val="5"/>
                <w:rFonts w:hint="eastAsia" w:ascii="宋体" w:hAnsi="宋体" w:eastAsia="宋体" w:cs="宋体"/>
                <w:b/>
                <w:bCs/>
                <w:color w:val="444444"/>
                <w:sz w:val="19"/>
                <w:szCs w:val="19"/>
                <w:bdr w:val="none" w:color="auto" w:sz="0" w:space="0"/>
              </w:rPr>
              <w:t>专业名称</w:t>
            </w:r>
          </w:p>
        </w:tc>
        <w:tc>
          <w:tcPr>
            <w:tcW w:w="948" w:type="dxa"/>
            <w:tcBorders>
              <w:top w:val="single" w:color="auto" w:sz="4" w:space="0"/>
              <w:left w:val="single" w:color="auto" w:sz="4" w:space="0"/>
              <w:bottom w:val="single" w:color="666666" w:sz="4" w:space="0"/>
              <w:right w:val="single" w:color="666666" w:sz="4" w:space="0"/>
            </w:tcBorders>
            <w:shd w:val="clear" w:color="auto" w:fill="D8D8D8"/>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Style w:val="5"/>
                <w:rFonts w:hint="eastAsia" w:ascii="宋体" w:hAnsi="宋体" w:eastAsia="宋体" w:cs="宋体"/>
                <w:b/>
                <w:bCs/>
                <w:color w:val="444444"/>
                <w:sz w:val="19"/>
                <w:szCs w:val="19"/>
                <w:bdr w:val="none" w:color="auto" w:sz="0" w:space="0"/>
              </w:rPr>
              <w:t>备注</w:t>
            </w: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40" w:hRule="atLeast"/>
        </w:trPr>
        <w:tc>
          <w:tcPr>
            <w:tcW w:w="68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1</w:t>
            </w:r>
          </w:p>
        </w:tc>
        <w:tc>
          <w:tcPr>
            <w:tcW w:w="13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045114</w:t>
            </w:r>
          </w:p>
        </w:tc>
        <w:tc>
          <w:tcPr>
            <w:tcW w:w="3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教育硕士（现代教育技术）（非全日制）</w:t>
            </w:r>
          </w:p>
        </w:tc>
        <w:tc>
          <w:tcPr>
            <w:tcW w:w="9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540" w:hRule="atLeast"/>
        </w:trPr>
        <w:tc>
          <w:tcPr>
            <w:tcW w:w="68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2</w:t>
            </w:r>
          </w:p>
        </w:tc>
        <w:tc>
          <w:tcPr>
            <w:tcW w:w="13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050301</w:t>
            </w:r>
          </w:p>
        </w:tc>
        <w:tc>
          <w:tcPr>
            <w:tcW w:w="3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新闻学</w:t>
            </w:r>
          </w:p>
        </w:tc>
        <w:tc>
          <w:tcPr>
            <w:tcW w:w="9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40" w:hRule="atLeast"/>
        </w:trPr>
        <w:tc>
          <w:tcPr>
            <w:tcW w:w="68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3</w:t>
            </w:r>
          </w:p>
        </w:tc>
        <w:tc>
          <w:tcPr>
            <w:tcW w:w="13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050302</w:t>
            </w:r>
          </w:p>
        </w:tc>
        <w:tc>
          <w:tcPr>
            <w:tcW w:w="3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传播学</w:t>
            </w:r>
          </w:p>
        </w:tc>
        <w:tc>
          <w:tcPr>
            <w:tcW w:w="9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pPr>
          </w:p>
        </w:tc>
      </w:tr>
      <w:tr>
        <w:tblPrEx>
          <w:tblBorders>
            <w:top w:val="single" w:color="auto" w:sz="4" w:space="0"/>
            <w:left w:val="single" w:color="auto" w:sz="4"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40" w:hRule="atLeast"/>
        </w:trPr>
        <w:tc>
          <w:tcPr>
            <w:tcW w:w="68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4</w:t>
            </w:r>
          </w:p>
        </w:tc>
        <w:tc>
          <w:tcPr>
            <w:tcW w:w="136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055300</w:t>
            </w:r>
          </w:p>
        </w:tc>
        <w:tc>
          <w:tcPr>
            <w:tcW w:w="36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264" w:lineRule="atLeast"/>
              <w:ind w:left="0" w:right="0" w:firstLine="0"/>
              <w:jc w:val="center"/>
              <w:rPr>
                <w:color w:val="444444"/>
              </w:rPr>
            </w:pPr>
            <w:r>
              <w:rPr>
                <w:rFonts w:hint="eastAsia" w:ascii="宋体" w:hAnsi="宋体" w:eastAsia="宋体" w:cs="宋体"/>
                <w:color w:val="444444"/>
                <w:sz w:val="19"/>
                <w:szCs w:val="19"/>
                <w:bdr w:val="none" w:color="auto" w:sz="0" w:space="0"/>
              </w:rPr>
              <w:t>出版</w:t>
            </w:r>
          </w:p>
        </w:tc>
        <w:tc>
          <w:tcPr>
            <w:tcW w:w="948"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420"/>
        <w:jc w:val="both"/>
        <w:rPr>
          <w:color w:val="444444"/>
        </w:rPr>
      </w:pPr>
      <w:r>
        <w:rPr>
          <w:rStyle w:val="5"/>
          <w:rFonts w:hint="eastAsia" w:ascii="黑体" w:hAnsi="宋体" w:eastAsia="黑体" w:cs="黑体"/>
          <w:b/>
          <w:bCs/>
          <w:i w:val="0"/>
          <w:iCs w:val="0"/>
          <w:caps w:val="0"/>
          <w:color w:val="3F464C"/>
          <w:spacing w:val="0"/>
          <w:sz w:val="22"/>
          <w:szCs w:val="22"/>
          <w:bdr w:val="none" w:color="auto" w:sz="0" w:space="0"/>
          <w:shd w:val="clear" w:fill="FFFFFF"/>
        </w:rPr>
        <w:t>二、考生调入的基本条件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1.符合华南师范大学招生简章上公布的相关专业报考条件。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2.分数线，初试成绩符合第一志愿报考专业的国家A区分数线。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3.调入专业与第一志愿报考专业相同或相近</w:t>
      </w:r>
      <w:r>
        <w:rPr>
          <w:rFonts w:hint="eastAsia" w:ascii="宋体" w:hAnsi="宋体" w:eastAsia="宋体" w:cs="宋体"/>
          <w:i w:val="0"/>
          <w:iCs w:val="0"/>
          <w:caps w:val="0"/>
          <w:color w:val="444444"/>
          <w:spacing w:val="0"/>
          <w:sz w:val="19"/>
          <w:szCs w:val="19"/>
          <w:bdr w:val="none" w:color="auto" w:sz="0" w:space="0"/>
          <w:shd w:val="clear" w:fill="FFFFFF"/>
        </w:rPr>
        <w:t>，应在同一学科门类范围内</w:t>
      </w:r>
      <w:r>
        <w:rPr>
          <w:rFonts w:hint="eastAsia" w:ascii="宋体" w:hAnsi="宋体" w:eastAsia="宋体" w:cs="宋体"/>
          <w:i w:val="0"/>
          <w:iCs w:val="0"/>
          <w:caps w:val="0"/>
          <w:color w:val="3F464C"/>
          <w:spacing w:val="0"/>
          <w:sz w:val="19"/>
          <w:szCs w:val="19"/>
          <w:bdr w:val="none" w:color="auto" w:sz="0" w:space="0"/>
          <w:shd w:val="clear" w:fill="FFFFFF"/>
        </w:rPr>
        <w:t>。我院不接收同等学力调剂生。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4.新闻学、传播学、出版硕士专业欢迎有新闻学、传播学、出版硕士相关学科背景的考生申请调剂。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5.每次开放调剂系统持续时间不低于12个小时。对申请同一招生单位同一专业、初试科目完全相同的调剂考生，按考生初试成绩择优遴选进入复试的考生名单。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6.全日制考生可以调剂到非全日制。全日制调剂到非全日制的考生，必须符合非全日制该专业的报考条件，并提交《定向培养协议书》。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7.我校不接受单独考试考生、少数民族高层次骨干人才计划考生的调剂。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420"/>
        <w:jc w:val="both"/>
        <w:rPr>
          <w:color w:val="444444"/>
        </w:rPr>
      </w:pPr>
      <w:r>
        <w:rPr>
          <w:rStyle w:val="5"/>
          <w:rFonts w:hint="eastAsia" w:ascii="黑体" w:hAnsi="宋体" w:eastAsia="黑体" w:cs="黑体"/>
          <w:b/>
          <w:bCs/>
          <w:i w:val="0"/>
          <w:iCs w:val="0"/>
          <w:caps w:val="0"/>
          <w:color w:val="3F464C"/>
          <w:spacing w:val="0"/>
          <w:sz w:val="22"/>
          <w:szCs w:val="22"/>
          <w:bdr w:val="none" w:color="auto" w:sz="0" w:space="0"/>
          <w:shd w:val="clear" w:fill="FFFFFF"/>
        </w:rPr>
        <w:t>三、调入流程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1、我院在学院网站公布调剂信息，调剂系统开通后在系统设置缺额状态，考生登录、我院网页（http://site.scnu.edu.cn/）或中国研究生招生信息网（https://yz.chsi.com.cn/）调剂系统查询我校缺额信息，查阅我院接收调剂生的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2、考生在调剂系统填报调剂志愿，按《教育信息技术学院2023年硕士研究生招生复试方案》要求向学院提交电子版资格审核材料。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3、调剂考生按我院复试方案进行复试。复试后，我校将根据考生初试成绩和复试成绩进行综合排名，确定是否待录取，并在调剂系统向待录取的调剂生发送待录取通知，待录取的调剂生需在规定时间内登录调剂系统确认同意待录取结果。对我院拟接收的调剂生做资格审查，资格审查无误，体检合格，确定其为拟录取，并在我校招生信息网页上统一公示。未经过调剂系统调剂或未在网上调剂系统确认接受待录取结果的调剂考生，不列入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4、对于调剂生，如无特殊原因，拟录取结论有变时，招生单位或考生须及时知会对方，必须经双方同意后方可解除拟录取状态；未能拟录取的调剂考生可申请再次调剂至其他招生单位。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联系人：张老师/胡老师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联系电话：020-85216460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学院网址：</w: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instrText xml:space="preserve"> HYPERLINK "http://site.scnu.edu.cn/" </w:instrTex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separate"/>
      </w:r>
      <w:r>
        <w:rPr>
          <w:rStyle w:val="6"/>
          <w:rFonts w:hint="eastAsia" w:ascii="宋体" w:hAnsi="宋体" w:eastAsia="宋体" w:cs="宋体"/>
          <w:i w:val="0"/>
          <w:iCs w:val="0"/>
          <w:caps w:val="0"/>
          <w:color w:val="0000FF"/>
          <w:spacing w:val="0"/>
          <w:sz w:val="16"/>
          <w:szCs w:val="16"/>
          <w:u w:val="single"/>
          <w:bdr w:val="none" w:color="auto" w:sz="0" w:space="0"/>
          <w:shd w:val="clear" w:fill="FFFFFF"/>
        </w:rPr>
        <w:t>http://site.scnu.edu.cn/</w:t>
      </w:r>
      <w:r>
        <w:rPr>
          <w:rFonts w:hint="eastAsia" w:ascii="微软雅黑" w:hAnsi="微软雅黑" w:eastAsia="微软雅黑" w:cs="微软雅黑"/>
          <w:i w:val="0"/>
          <w:iCs w:val="0"/>
          <w:caps w:val="0"/>
          <w:color w:val="127DB8"/>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86" w:afterAutospacing="0" w:line="210" w:lineRule="atLeast"/>
        <w:ind w:left="0" w:right="0" w:firstLine="384"/>
        <w:jc w:val="both"/>
        <w:rPr>
          <w:color w:val="444444"/>
        </w:rPr>
      </w:pPr>
      <w:r>
        <w:rPr>
          <w:rFonts w:hint="eastAsia" w:ascii="宋体" w:hAnsi="宋体" w:eastAsia="宋体" w:cs="宋体"/>
          <w:i w:val="0"/>
          <w:iCs w:val="0"/>
          <w:caps w:val="0"/>
          <w:color w:val="3F464C"/>
          <w:spacing w:val="0"/>
          <w:sz w:val="19"/>
          <w:szCs w:val="19"/>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86" w:afterAutospacing="0" w:line="210" w:lineRule="atLeast"/>
        <w:ind w:left="0" w:right="0" w:firstLine="384"/>
        <w:jc w:val="right"/>
        <w:rPr>
          <w:color w:val="444444"/>
        </w:rPr>
      </w:pPr>
      <w:r>
        <w:rPr>
          <w:rFonts w:hint="eastAsia" w:ascii="宋体" w:hAnsi="宋体" w:eastAsia="宋体" w:cs="宋体"/>
          <w:i w:val="0"/>
          <w:iCs w:val="0"/>
          <w:caps w:val="0"/>
          <w:color w:val="444444"/>
          <w:spacing w:val="0"/>
          <w:sz w:val="19"/>
          <w:szCs w:val="19"/>
          <w:bdr w:val="none" w:color="auto" w:sz="0" w:space="0"/>
          <w:shd w:val="clear" w:fill="FFFFFF"/>
        </w:rPr>
        <w:t>华南师范大学教育信息技术学院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86" w:afterAutospacing="0" w:line="210" w:lineRule="atLeast"/>
        <w:ind w:left="0" w:right="0" w:firstLine="384"/>
        <w:jc w:val="right"/>
        <w:rPr>
          <w:color w:val="444444"/>
        </w:rPr>
      </w:pPr>
      <w:r>
        <w:rPr>
          <w:rFonts w:hint="eastAsia" w:ascii="宋体" w:hAnsi="宋体" w:eastAsia="宋体" w:cs="宋体"/>
          <w:i w:val="0"/>
          <w:iCs w:val="0"/>
          <w:caps w:val="0"/>
          <w:color w:val="444444"/>
          <w:spacing w:val="0"/>
          <w:sz w:val="19"/>
          <w:szCs w:val="19"/>
          <w:bdr w:val="none" w:color="auto" w:sz="0" w:space="0"/>
          <w:shd w:val="clear" w:fill="FFFFFF"/>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5410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957</Words>
  <Characters>1094</Characters>
  <Lines>0</Lines>
  <Paragraphs>0</Paragraphs>
  <TotalTime>0</TotalTime>
  <ScaleCrop>false</ScaleCrop>
  <LinksUpToDate>false</LinksUpToDate>
  <CharactersWithSpaces>1102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2023-04-23T10:47:17Z</dcterms:created>
  <dc:creator>DELL</dc:creator>
  <cp:lastModifiedBy>曾经的那个老吴</cp:lastModifiedBy>
  <dcterms:modified xsi:type="dcterms:W3CDTF">2023-04-23T10:47:19Z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D0A93E04D75C489490EBA74C78BA5ADB_12</vt:lpwstr>
  </property>
</Properties>
</file>