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1B70C3"/>
          <w:sz w:val="24"/>
          <w:szCs w:val="24"/>
        </w:rPr>
      </w:pPr>
      <w:r>
        <w:rPr>
          <w:i w:val="0"/>
          <w:iCs w:val="0"/>
          <w:caps w:val="0"/>
          <w:color w:val="1B70C3"/>
          <w:spacing w:val="0"/>
          <w:sz w:val="24"/>
          <w:szCs w:val="24"/>
          <w:bdr w:val="none" w:color="auto" w:sz="0" w:space="0"/>
        </w:rPr>
        <w:t>华南师范大学马克思主义学院 2023 年硕士研究生招生调剂公告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2023-04-04 19:22:53来源：华南师范大学马克思主义学院 点击：8899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收藏本文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按照教育部《2023年全国硕士研究生招生工作管理规定》（教学〔2022〕3号）和有关文件精神，结合我院第一志愿复试情况，下列专业需要少量调剂生：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44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一、 2023年拟接收调剂专业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国外马克思主义研究（030504）、中国近现代史基本问题研究（030506）。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44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申请调剂的考生第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一志愿报考专业原则上须为马克思主义理论一级学科及相关专业(需法学门类，即报考科目代码前两位为03)。具体要求如下：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.凡第一志愿报考马克思主义理论一级学科及相关专业，且初试成绩达到2023年国家硕士研究生招生考试法学学科A类基本线的考生可申请调入,不接受单独考试考生、少数民族高层次骨干人才计划、强军计划、援藏计划考生的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2.请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bdr w:val="none" w:color="auto" w:sz="0" w:space="0"/>
        </w:rPr>
        <w:t>登录中国研究生招生信息网(预计2023年4月6日开放)填报相关信息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。复试通知等会第一时间在官方网页发布，请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</w:rPr>
        <w:t>密切留意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中国研究生招生信息网、华南师范大学马克思主义学院网站。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3.咨询电话：020-85210042；邮箱：033yz01@scnu.edu.cn 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                华南师范大学马克思主义学院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384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               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0B2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528</Characters>
  <Lines>0</Lines>
  <Paragraphs>0</Paragraphs>
  <TotalTime>0</TotalTime>
  <ScaleCrop>false</ScaleCrop>
  <LinksUpToDate>false</LinksUpToDate>
  <CharactersWithSpaces>569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2023-04-25T02:02:54Z</dcterms:created>
  <dc:creator>DELL</dc:creator>
  <cp:lastModifiedBy>曾经的那个老吴</cp:lastModifiedBy>
  <dcterms:modified xsi:type="dcterms:W3CDTF">2023-04-25T02:02:57Z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AF238DF0B18B458BA5BEBE35DAF251C9_12</vt:lpwstr>
  </property>
</Properties>
</file>