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282828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82828"/>
          <w:spacing w:val="0"/>
          <w:sz w:val="18"/>
          <w:szCs w:val="18"/>
          <w:bdr w:val="none" w:color="auto" w:sz="0" w:space="0"/>
          <w:shd w:val="clear" w:fill="FFFFFF"/>
        </w:rPr>
        <w:t>南京体育学院关于2023年硕士研究生招生拟接收调剂的公告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87878"/>
          <w:spacing w:val="0"/>
          <w:sz w:val="12"/>
          <w:szCs w:val="12"/>
          <w:bdr w:val="none" w:color="auto" w:sz="0" w:space="0"/>
          <w:shd w:val="clear" w:fill="FFFFFF"/>
        </w:rPr>
        <w:t>来源：研究生部发布时间：2023-03-11浏览次数：18267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300" w:lineRule="atLeast"/>
        <w:ind w:left="0" w:right="0" w:firstLine="0"/>
        <w:jc w:val="center"/>
        <w:rPr>
          <w:color w:val="333333"/>
          <w:sz w:val="14"/>
          <w:szCs w:val="14"/>
          <w:u w:val="none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 w:firstLine="0"/>
        <w:jc w:val="left"/>
        <w:rPr>
          <w:color w:val="333333"/>
          <w:sz w:val="14"/>
          <w:szCs w:val="14"/>
          <w:u w:val="none"/>
        </w:rPr>
      </w:pPr>
      <w:r>
        <w:rPr>
          <w:rFonts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 w:firstLine="430"/>
        <w:jc w:val="left"/>
        <w:rPr>
          <w:color w:val="333333"/>
          <w:sz w:val="14"/>
          <w:szCs w:val="14"/>
          <w:u w:val="none"/>
        </w:rPr>
      </w:pPr>
      <w:r>
        <w:rPr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现将我校2023年硕士研究生招生拟接收调剂的相关情况予以公告。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 w:firstLine="430"/>
        <w:jc w:val="left"/>
        <w:rPr>
          <w:color w:val="333333"/>
          <w:sz w:val="14"/>
          <w:szCs w:val="14"/>
          <w:u w:val="none"/>
        </w:rPr>
      </w:pPr>
      <w:r>
        <w:rPr>
          <w:rStyle w:val="7"/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一、我校拟接收调剂专业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850"/>
        <w:gridCol w:w="1040"/>
        <w:gridCol w:w="25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1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类型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1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学习方式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专业代码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1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专业名称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17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学术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17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学位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全日制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040301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</w:rPr>
              <w:t>体育人文社会学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全日制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040304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</w:rPr>
              <w:t>民族传统体育学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17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专业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17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学位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17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303030"/>
                <w:sz w:val="19"/>
                <w:szCs w:val="19"/>
                <w:u w:val="none"/>
                <w:bdr w:val="none" w:color="auto" w:sz="0" w:space="0"/>
                <w:lang w:eastAsia="zh-TW"/>
              </w:rPr>
              <w:t> 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全日制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045112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</w:rPr>
              <w:t>教育硕士（</w:t>
            </w: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学科教学</w:t>
            </w:r>
            <w:r>
              <w:rPr>
                <w:rFonts w:ascii="黑体" w:hAnsi="宋体" w:eastAsia="黑体" w:cs="黑体"/>
                <w:color w:val="000000"/>
                <w:sz w:val="19"/>
                <w:szCs w:val="19"/>
                <w:u w:val="none"/>
                <w:bdr w:val="none" w:color="auto" w:sz="0" w:space="0"/>
              </w:rPr>
              <w:t>˙</w:t>
            </w: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体育）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</w:rPr>
              <w:t>全日制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055200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</w:rPr>
              <w:t>新闻与传播硕士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非全日制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045201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</w:rPr>
              <w:t>体育硕士（</w:t>
            </w: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体育教学</w:t>
            </w: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</w:rPr>
              <w:t>）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045202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color w:val="333333"/>
                <w:sz w:val="14"/>
                <w:szCs w:val="1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</w:rPr>
              <w:t>体育硕士（</w:t>
            </w: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  <w:lang w:eastAsia="zh-TW"/>
              </w:rPr>
              <w:t>运动训练</w:t>
            </w: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u w:val="none"/>
                <w:bdr w:val="none" w:color="auto" w:sz="0" w:space="0"/>
              </w:rPr>
              <w:t>）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 w:firstLine="430"/>
        <w:jc w:val="left"/>
        <w:rPr>
          <w:color w:val="333333"/>
          <w:sz w:val="14"/>
          <w:szCs w:val="14"/>
          <w:u w:val="none"/>
        </w:rPr>
      </w:pPr>
      <w:r>
        <w:rPr>
          <w:rStyle w:val="7"/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二、考生调剂的基本条件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 w:firstLine="430"/>
        <w:jc w:val="left"/>
        <w:rPr>
          <w:color w:val="333333"/>
          <w:sz w:val="14"/>
          <w:szCs w:val="14"/>
          <w:u w:val="none"/>
        </w:rPr>
      </w:pPr>
      <w:r>
        <w:rPr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1.符合调入专业的报考条件。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 w:firstLine="430"/>
        <w:jc w:val="left"/>
        <w:rPr>
          <w:color w:val="333333"/>
          <w:sz w:val="14"/>
          <w:szCs w:val="14"/>
          <w:u w:val="none"/>
        </w:rPr>
      </w:pPr>
      <w:r>
        <w:rPr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2.初试成绩符合第一志愿报考专业在</w:t>
      </w:r>
      <w:r>
        <w:rPr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区的全国初试成绩的基本要求。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 w:firstLine="430"/>
        <w:jc w:val="left"/>
        <w:rPr>
          <w:color w:val="333333"/>
          <w:sz w:val="14"/>
          <w:szCs w:val="14"/>
          <w:u w:val="none"/>
        </w:rPr>
      </w:pPr>
      <w:r>
        <w:rPr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3.调入专业与第一志愿报考专业相同或相近。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 w:firstLine="430"/>
        <w:jc w:val="left"/>
        <w:rPr>
          <w:color w:val="333333"/>
          <w:sz w:val="14"/>
          <w:szCs w:val="14"/>
          <w:u w:val="none"/>
        </w:rPr>
      </w:pPr>
      <w:r>
        <w:rPr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4.非全日制专业学位原则上只接收在职定向就业人员的调剂。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 w:firstLine="430"/>
        <w:jc w:val="left"/>
        <w:rPr>
          <w:color w:val="333333"/>
          <w:sz w:val="14"/>
          <w:szCs w:val="14"/>
          <w:u w:val="none"/>
        </w:rPr>
      </w:pPr>
      <w:r>
        <w:rPr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5.符合教育部和我校其他相关规定。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 w:firstLine="430"/>
        <w:jc w:val="left"/>
        <w:rPr>
          <w:color w:val="333333"/>
          <w:sz w:val="14"/>
          <w:szCs w:val="14"/>
          <w:u w:val="none"/>
        </w:rPr>
      </w:pPr>
      <w:r>
        <w:rPr>
          <w:rStyle w:val="7"/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 三、调剂方式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 w:firstLine="430"/>
        <w:jc w:val="left"/>
        <w:rPr>
          <w:color w:val="333333"/>
          <w:sz w:val="14"/>
          <w:szCs w:val="14"/>
          <w:u w:val="none"/>
        </w:rPr>
      </w:pPr>
      <w:r>
        <w:rPr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“中国研究生招生信息网”（简称“研招网”，网址：https://yz.chsi.com.cn/）调剂系统将于4月6日开启，请有意向调剂到我校的考生在调剂系统开通后及时登陆“研招网”，填报调剂信息。我校将依据“研招网”调剂系统中考生调剂信息确定拟接收调剂考生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 w:firstLine="430"/>
        <w:jc w:val="left"/>
        <w:rPr>
          <w:color w:val="333333"/>
          <w:sz w:val="14"/>
          <w:szCs w:val="14"/>
          <w:u w:val="none"/>
        </w:rPr>
      </w:pPr>
      <w:r>
        <w:rPr>
          <w:rStyle w:val="7"/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四、注意事项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 w:firstLine="430"/>
        <w:jc w:val="left"/>
        <w:rPr>
          <w:color w:val="333333"/>
          <w:sz w:val="14"/>
          <w:szCs w:val="14"/>
          <w:u w:val="none"/>
        </w:rPr>
      </w:pPr>
      <w:r>
        <w:rPr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按照国家有关规定，调剂工作均须经“中国研究生招生信息网”调剂系统报名确认；我校没有预调剂系统，也不接受考生以邮件、电话等其他方式的调剂申请。请考生及时关注我校研究生网站信息。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 w:firstLine="430"/>
        <w:jc w:val="left"/>
        <w:rPr>
          <w:color w:val="333333"/>
          <w:sz w:val="14"/>
          <w:szCs w:val="14"/>
          <w:u w:val="none"/>
        </w:rPr>
      </w:pPr>
      <w:r>
        <w:rPr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 w:firstLine="430"/>
        <w:jc w:val="left"/>
        <w:rPr>
          <w:color w:val="333333"/>
          <w:sz w:val="14"/>
          <w:szCs w:val="14"/>
          <w:u w:val="none"/>
        </w:rPr>
      </w:pPr>
      <w:r>
        <w:rPr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咨询电话：025-84755173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 w:firstLine="430"/>
        <w:jc w:val="left"/>
        <w:rPr>
          <w:color w:val="333333"/>
          <w:sz w:val="14"/>
          <w:szCs w:val="14"/>
          <w:u w:val="none"/>
        </w:rPr>
      </w:pPr>
      <w:r>
        <w:rPr>
          <w:rFonts w:hint="eastAsia" w:ascii="仿宋" w:hAnsi="仿宋" w:eastAsia="仿宋" w:cs="仿宋"/>
          <w:i w:val="0"/>
          <w:caps w:val="0"/>
          <w:color w:val="30303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电子信箱：nt2020710@163.com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AF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2023-05-25T06:33:20Z</dcterms:created>
  <dc:creator>86188</dc:creator>
  <cp:lastModifiedBy>随风而动</cp:lastModifiedBy>
  <dcterms:modified xsi:type="dcterms:W3CDTF">2023-05-25T06:33:21Z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