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5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tblCellSpacing w:w="0" w:type="dxa"/>
          <w:jc w:val="center"/>
        </w:trPr>
        <w:tc>
          <w:tcPr>
            <w:tcW w:w="69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0"/>
                <w:szCs w:val="20"/>
              </w:rPr>
            </w:pPr>
            <w:bookmarkStart w:id="0" w:name="_GoBack"/>
            <w:r>
              <w:rPr>
                <w:i w:val="0"/>
                <w:iCs w:val="0"/>
                <w:caps w:val="0"/>
                <w:color w:val="000000"/>
                <w:spacing w:val="0"/>
                <w:sz w:val="20"/>
                <w:szCs w:val="20"/>
                <w:bdr w:val="none" w:color="auto" w:sz="0" w:space="0"/>
              </w:rPr>
              <w:t>信息科学技术学院2023年硕士研究生招生调剂公告</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300" w:hRule="atLeast"/>
          <w:tblCellSpacing w:w="0" w:type="dxa"/>
          <w:jc w:val="center"/>
        </w:trPr>
        <w:tc>
          <w:tcPr>
            <w:tcW w:w="6980" w:type="dxa"/>
            <w:shd w:val="clear" w:color="auto" w:fill="FFFFFF"/>
            <w:vAlign w:val="top"/>
          </w:tcPr>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jc w:val="center"/>
              </w:trPr>
              <w:tc>
                <w:tcPr>
                  <w:tcW w:w="5000" w:type="pct"/>
                  <w:shd w:val="clear"/>
                  <w:vAlign w:val="center"/>
                </w:tcPr>
                <w:p>
                  <w:pPr>
                    <w:keepNext w:val="0"/>
                    <w:keepLines w:val="0"/>
                    <w:widowControl/>
                    <w:suppressLineNumbers w:val="0"/>
                    <w:pBdr>
                      <w:top w:val="single" w:color="CCCCCC" w:sz="4" w:space="0"/>
                      <w:left w:val="none" w:color="auto" w:sz="0" w:space="0"/>
                      <w:bottom w:val="single" w:color="CCCCCC" w:sz="4" w:space="0"/>
                      <w:right w:val="none" w:color="auto" w:sz="0" w:space="0"/>
                    </w:pBdr>
                    <w:spacing w:before="150" w:beforeAutospacing="0" w:after="150" w:afterAutospacing="0" w:line="280" w:lineRule="atLeast"/>
                    <w:ind w:left="0" w:right="0"/>
                    <w:jc w:val="center"/>
                    <w:rPr>
                      <w:color w:val="666666"/>
                    </w:rPr>
                  </w:pPr>
                  <w:r>
                    <w:rPr>
                      <w:rFonts w:ascii="宋体" w:hAnsi="宋体" w:eastAsia="宋体" w:cs="宋体"/>
                      <w:color w:val="999999"/>
                      <w:kern w:val="0"/>
                      <w:sz w:val="12"/>
                      <w:szCs w:val="12"/>
                      <w:lang w:val="en-US" w:eastAsia="zh-CN" w:bidi="ar"/>
                    </w:rPr>
                    <w:t>Time：</w:t>
                  </w:r>
                  <w:r>
                    <w:rPr>
                      <w:rFonts w:ascii="宋体" w:hAnsi="宋体" w:eastAsia="宋体" w:cs="宋体"/>
                      <w:color w:val="666666"/>
                      <w:kern w:val="0"/>
                      <w:sz w:val="24"/>
                      <w:szCs w:val="24"/>
                      <w:bdr w:val="none" w:color="auto" w:sz="0" w:space="0"/>
                      <w:lang w:val="en-US" w:eastAsia="zh-CN" w:bidi="ar"/>
                    </w:rPr>
                    <w:t>2023-04-03</w:t>
                  </w:r>
                  <w:r>
                    <w:rPr>
                      <w:rFonts w:ascii="宋体" w:hAnsi="宋体" w:eastAsia="宋体" w:cs="宋体"/>
                      <w:color w:val="999999"/>
                      <w:kern w:val="0"/>
                      <w:sz w:val="12"/>
                      <w:szCs w:val="12"/>
                      <w:lang w:val="en-US" w:eastAsia="zh-CN" w:bidi="ar"/>
                    </w:rPr>
                    <w:t>Clicks：</w:t>
                  </w:r>
                  <w:r>
                    <w:rPr>
                      <w:rFonts w:ascii="宋体" w:hAnsi="宋体" w:eastAsia="宋体" w:cs="宋体"/>
                      <w:color w:val="666666"/>
                      <w:kern w:val="0"/>
                      <w:sz w:val="24"/>
                      <w:szCs w:val="24"/>
                      <w:bdr w:val="none" w:color="auto" w:sz="0" w:space="0"/>
                      <w:lang w:val="en-US" w:eastAsia="zh-CN" w:bidi="ar"/>
                    </w:rPr>
                    <w:t>5769</w:t>
                  </w:r>
                  <w:r>
                    <w:rPr>
                      <w:rFonts w:ascii="宋体" w:hAnsi="宋体" w:eastAsia="宋体" w:cs="宋体"/>
                      <w:color w:val="999999"/>
                      <w:kern w:val="0"/>
                      <w:sz w:val="12"/>
                      <w:szCs w:val="12"/>
                      <w:lang w:val="en-US" w:eastAsia="zh-CN" w:bidi="ar"/>
                    </w:rPr>
                    <w:t>Font：</w:t>
                  </w:r>
                  <w:r>
                    <w:rPr>
                      <w:rFonts w:ascii="Georgia" w:hAnsi="Georgia" w:eastAsia="Georgia" w:cs="Georgia"/>
                      <w:b/>
                      <w:bCs/>
                      <w:color w:val="666666"/>
                      <w:kern w:val="0"/>
                      <w:sz w:val="10"/>
                      <w:szCs w:val="10"/>
                      <w:lang w:val="en-US" w:eastAsia="zh-CN" w:bidi="ar"/>
                    </w:rPr>
                    <w:t>T</w:t>
                  </w:r>
                  <w:r>
                    <w:rPr>
                      <w:rFonts w:ascii="宋体" w:hAnsi="宋体" w:eastAsia="宋体" w:cs="宋体"/>
                      <w:color w:val="666666"/>
                      <w:kern w:val="0"/>
                      <w:sz w:val="24"/>
                      <w:szCs w:val="24"/>
                      <w:bdr w:val="none" w:color="auto" w:sz="0" w:space="0"/>
                      <w:lang w:val="en-US" w:eastAsia="zh-CN" w:bidi="ar"/>
                    </w:rPr>
                    <w:t>|</w:t>
                  </w:r>
                  <w:r>
                    <w:rPr>
                      <w:rFonts w:hint="default" w:ascii="Georgia" w:hAnsi="Georgia" w:eastAsia="Georgia" w:cs="Georgia"/>
                      <w:b/>
                      <w:bCs/>
                      <w:color w:val="003BA6"/>
                      <w:kern w:val="0"/>
                      <w:sz w:val="24"/>
                      <w:szCs w:val="24"/>
                      <w:bdr w:val="none" w:color="auto" w:sz="0" w:space="0"/>
                      <w:lang w:val="en-US" w:eastAsia="zh-CN" w:bidi="ar"/>
                    </w:rPr>
                    <w:t>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370"/>
                    <w:jc w:val="left"/>
                  </w:pPr>
                  <w:r>
                    <w:rPr>
                      <w:rFonts w:hint="eastAsia" w:ascii="宋体" w:hAnsi="宋体" w:eastAsia="宋体" w:cs="宋体"/>
                      <w:sz w:val="19"/>
                      <w:szCs w:val="19"/>
                      <w:bdr w:val="none" w:color="auto" w:sz="0" w:space="0"/>
                    </w:rPr>
                    <w:t>根据教育部、江苏省教育厅及南京林业大学2023年研究生招生工作相关文件精神，结合我院招生实际，现就我院2023年硕士研究生调剂有关事宜公告如下：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Style w:val="6"/>
                      <w:rFonts w:hint="eastAsia" w:ascii="宋体" w:hAnsi="宋体" w:eastAsia="宋体" w:cs="宋体"/>
                      <w:color w:val="000000"/>
                      <w:spacing w:val="10"/>
                      <w:sz w:val="19"/>
                      <w:szCs w:val="19"/>
                      <w:bdr w:val="none" w:color="auto" w:sz="0" w:space="0"/>
                    </w:rPr>
                    <w:t>一、接受调剂专业、缺额信息及接受调剂基本要求：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340" w:right="0" w:firstLine="0"/>
                    <w:jc w:val="left"/>
                  </w:pPr>
                  <w:r>
                    <w:rPr>
                      <w:bdr w:val="none" w:color="auto" w:sz="0" w:space="0"/>
                    </w:rPr>
                    <w:t> </w:t>
                  </w:r>
                </w:p>
                <w:tbl>
                  <w:tblPr>
                    <w:tblW w:w="0" w:type="auto"/>
                    <w:jc w:val="center"/>
                    <w:tblCellSpacing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880"/>
                    <w:gridCol w:w="780"/>
                    <w:gridCol w:w="620"/>
                    <w:gridCol w:w="2730"/>
                    <w:gridCol w:w="95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sz w:val="16"/>
                            <w:szCs w:val="16"/>
                            <w:bdr w:val="none" w:color="auto" w:sz="0" w:space="0"/>
                          </w:rPr>
                          <w:t>调剂专业（或方向）</w:t>
                        </w:r>
                      </w:p>
                    </w:tc>
                    <w:tc>
                      <w:tcPr>
                        <w:tcW w:w="7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sz w:val="16"/>
                            <w:szCs w:val="16"/>
                            <w:bdr w:val="none" w:color="auto" w:sz="0" w:space="0"/>
                          </w:rPr>
                          <w:t>调剂开放时间</w:t>
                        </w:r>
                      </w:p>
                    </w:tc>
                    <w:tc>
                      <w:tcPr>
                        <w:tcW w:w="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sz w:val="16"/>
                            <w:szCs w:val="16"/>
                            <w:bdr w:val="none" w:color="auto" w:sz="0" w:space="0"/>
                          </w:rPr>
                          <w:t>调剂指标数</w:t>
                        </w:r>
                      </w:p>
                    </w:tc>
                    <w:tc>
                      <w:tcPr>
                        <w:tcW w:w="2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sz w:val="16"/>
                            <w:szCs w:val="16"/>
                            <w:bdr w:val="none" w:color="auto" w:sz="0" w:space="0"/>
                          </w:rPr>
                          <w:t>调剂考生具体要求及条件</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sz w:val="16"/>
                            <w:szCs w:val="16"/>
                            <w:bdr w:val="none" w:color="auto" w:sz="0" w:space="0"/>
                          </w:rPr>
                          <w:t>调剂专业开放时长</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333333"/>
                            <w:spacing w:val="10"/>
                            <w:sz w:val="16"/>
                            <w:szCs w:val="16"/>
                            <w:u w:val="none"/>
                            <w:bdr w:val="none" w:color="auto" w:sz="0" w:space="0"/>
                          </w:rPr>
                          <w:fldChar w:fldCharType="begin"/>
                        </w:r>
                        <w:r>
                          <w:rPr>
                            <w:rFonts w:hint="eastAsia" w:ascii="宋体" w:hAnsi="宋体" w:eastAsia="宋体" w:cs="宋体"/>
                            <w:color w:val="333333"/>
                            <w:spacing w:val="10"/>
                            <w:sz w:val="16"/>
                            <w:szCs w:val="16"/>
                            <w:u w:val="none"/>
                            <w:bdr w:val="none" w:color="auto" w:sz="0" w:space="0"/>
                          </w:rPr>
                          <w:instrText xml:space="preserve"> HYPERLINK "https://zyml.njfu.edu.cn/page/dw/zy.html?ArticleID=945&amp;y=2023" </w:instrText>
                        </w:r>
                        <w:r>
                          <w:rPr>
                            <w:rFonts w:hint="eastAsia" w:ascii="宋体" w:hAnsi="宋体" w:eastAsia="宋体" w:cs="宋体"/>
                            <w:color w:val="333333"/>
                            <w:spacing w:val="10"/>
                            <w:sz w:val="16"/>
                            <w:szCs w:val="16"/>
                            <w:u w:val="none"/>
                            <w:bdr w:val="none" w:color="auto" w:sz="0" w:space="0"/>
                          </w:rPr>
                          <w:fldChar w:fldCharType="separate"/>
                        </w:r>
                        <w:r>
                          <w:rPr>
                            <w:rStyle w:val="7"/>
                            <w:rFonts w:hint="eastAsia" w:ascii="宋体" w:hAnsi="宋体" w:eastAsia="宋体" w:cs="宋体"/>
                            <w:color w:val="000000"/>
                            <w:spacing w:val="10"/>
                            <w:sz w:val="16"/>
                            <w:szCs w:val="16"/>
                            <w:u w:val="none"/>
                            <w:bdr w:val="none" w:color="auto" w:sz="0" w:space="0"/>
                          </w:rPr>
                          <w:t>计算机科学与技术</w:t>
                        </w:r>
                        <w:r>
                          <w:rPr>
                            <w:rFonts w:hint="eastAsia" w:ascii="宋体" w:hAnsi="宋体" w:eastAsia="宋体" w:cs="宋体"/>
                            <w:color w:val="333333"/>
                            <w:spacing w:val="10"/>
                            <w:sz w:val="16"/>
                            <w:szCs w:val="16"/>
                            <w:u w:val="none"/>
                            <w:bdr w:val="none" w:color="auto" w:sz="0" w:space="0"/>
                          </w:rPr>
                          <w:fldChar w:fldCharType="end"/>
                        </w:r>
                      </w:p>
                    </w:tc>
                    <w:tc>
                      <w:tcPr>
                        <w:tcW w:w="78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4月6日0点（具体以研招网开通调剂时间为准）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dr w:val="none" w:color="auto" w:sz="0" w:space="0"/>
                          </w:rPr>
                          <w:t> </w:t>
                        </w:r>
                      </w:p>
                    </w:tc>
                    <w:tc>
                      <w:tcPr>
                        <w:tcW w:w="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4</w:t>
                        </w:r>
                      </w:p>
                    </w:tc>
                    <w:tc>
                      <w:tcPr>
                        <w:tcW w:w="2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left"/>
                        </w:pPr>
                        <w:r>
                          <w:rPr>
                            <w:rFonts w:hint="eastAsia" w:ascii="宋体" w:hAnsi="宋体" w:eastAsia="宋体" w:cs="宋体"/>
                            <w:color w:val="000000"/>
                            <w:spacing w:val="10"/>
                            <w:sz w:val="16"/>
                            <w:szCs w:val="16"/>
                            <w:bdr w:val="none" w:color="auto" w:sz="0" w:space="0"/>
                          </w:rPr>
                          <w:t>1.初试成绩高于国家线15分；2.专业要求：一级学科为：计算机科学与技术或其它相近专业；3.CET4高于425分；4.有较高科研素养与科研潜力；报考专业与所调剂专业相同优先；5.其他国家及学校关于调剂考生的相关要求和规定。</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12小时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电子科学与技术</w:t>
                        </w:r>
                      </w:p>
                    </w:tc>
                    <w:tc>
                      <w:tcPr>
                        <w:tcW w:w="78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9</w:t>
                        </w:r>
                      </w:p>
                    </w:tc>
                    <w:tc>
                      <w:tcPr>
                        <w:tcW w:w="2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left"/>
                        </w:pPr>
                        <w:r>
                          <w:rPr>
                            <w:rFonts w:hint="eastAsia" w:ascii="宋体" w:hAnsi="宋体" w:eastAsia="宋体" w:cs="宋体"/>
                            <w:color w:val="000000"/>
                            <w:spacing w:val="10"/>
                            <w:sz w:val="16"/>
                            <w:szCs w:val="16"/>
                            <w:bdr w:val="none" w:color="auto" w:sz="0" w:space="0"/>
                          </w:rPr>
                          <w:t>1.初试成绩高于国家线15分；2.专业要求：一级学科为：电子科学与技术或信息与通信工程，或其它相近专业；3.CET4高于425分；4.有较高科研素养与科研潜力；报考专业与所调剂专业相同优先；5.其他国家及学校关于调剂考生的相关要求和规定。</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12小时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控制科学与工程</w:t>
                        </w:r>
                      </w:p>
                    </w:tc>
                    <w:tc>
                      <w:tcPr>
                        <w:tcW w:w="78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3</w:t>
                        </w:r>
                      </w:p>
                    </w:tc>
                    <w:tc>
                      <w:tcPr>
                        <w:tcW w:w="2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left"/>
                        </w:pPr>
                        <w:r>
                          <w:rPr>
                            <w:rFonts w:hint="eastAsia" w:ascii="宋体" w:hAnsi="宋体" w:eastAsia="宋体" w:cs="宋体"/>
                            <w:color w:val="000000"/>
                            <w:spacing w:val="10"/>
                            <w:sz w:val="16"/>
                            <w:szCs w:val="16"/>
                            <w:bdr w:val="none" w:color="auto" w:sz="0" w:space="0"/>
                          </w:rPr>
                          <w:t>1.初试成绩高于国家线15分；2.专业要求：控制类相关专业；3.CET4高于425分；4.有较高科研素养与科研潜力；报考专业与所调剂专业相同优先；5.其他国家及学校关于调剂考生的相关要求和规定。</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20" w:lineRule="atLeast"/>
                          <w:ind w:left="0" w:right="0"/>
                          <w:jc w:val="center"/>
                        </w:pPr>
                        <w:r>
                          <w:rPr>
                            <w:rFonts w:hint="eastAsia" w:ascii="宋体" w:hAnsi="宋体" w:eastAsia="宋体" w:cs="宋体"/>
                            <w:color w:val="000000"/>
                            <w:spacing w:val="10"/>
                            <w:sz w:val="16"/>
                            <w:szCs w:val="16"/>
                            <w:bdr w:val="none" w:color="auto" w:sz="0" w:space="0"/>
                          </w:rPr>
                          <w:t>12小时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pacing w:val="10"/>
                            <w:sz w:val="16"/>
                            <w:szCs w:val="16"/>
                            <w:bdr w:val="none" w:color="auto" w:sz="0" w:space="0"/>
                          </w:rPr>
                          <w:t>电子信息（非全日制，1、2方向）</w:t>
                        </w:r>
                      </w:p>
                    </w:tc>
                    <w:tc>
                      <w:tcPr>
                        <w:tcW w:w="78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pacing w:val="10"/>
                            <w:sz w:val="16"/>
                            <w:szCs w:val="16"/>
                            <w:bdr w:val="none" w:color="auto" w:sz="0" w:space="0"/>
                          </w:rPr>
                          <w:t>12</w:t>
                        </w:r>
                      </w:p>
                    </w:tc>
                    <w:tc>
                      <w:tcPr>
                        <w:tcW w:w="2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spacing w:val="10"/>
                            <w:sz w:val="16"/>
                            <w:szCs w:val="16"/>
                            <w:bdr w:val="none" w:color="auto" w:sz="0" w:space="0"/>
                          </w:rPr>
                          <w:t>1.专业要求：电子信息类及相近专业；2.CET4高于425分；3.有较强的实践能力，与本院教师科研方向契合度好；4.其他国家及学校关于调剂考生的相关要求和规定。</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pacing w:val="10"/>
                            <w:sz w:val="16"/>
                            <w:szCs w:val="16"/>
                            <w:bdr w:val="none" w:color="auto" w:sz="0" w:space="0"/>
                          </w:rPr>
                          <w:t>12小时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8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pacing w:val="10"/>
                            <w:sz w:val="16"/>
                            <w:szCs w:val="16"/>
                            <w:bdr w:val="none" w:color="auto" w:sz="0" w:space="0"/>
                          </w:rPr>
                          <w:t>电子信息（非全日制，3方向）</w:t>
                        </w:r>
                      </w:p>
                    </w:tc>
                    <w:tc>
                      <w:tcPr>
                        <w:tcW w:w="78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pacing w:val="10"/>
                            <w:sz w:val="16"/>
                            <w:szCs w:val="16"/>
                            <w:bdr w:val="none" w:color="auto" w:sz="0" w:space="0"/>
                          </w:rPr>
                          <w:t>21</w:t>
                        </w:r>
                      </w:p>
                    </w:tc>
                    <w:tc>
                      <w:tcPr>
                        <w:tcW w:w="2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spacing w:val="10"/>
                            <w:sz w:val="16"/>
                            <w:szCs w:val="16"/>
                            <w:bdr w:val="none" w:color="auto" w:sz="0" w:space="0"/>
                          </w:rPr>
                          <w:t>1.专业要求：电子信息类及相近专业；2.CET4高于425分；3.有较强的实践能力，与本院教师科研方向契合度好；4.其他国家及学校关于调剂考生的相关要求和规定。</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pacing w:val="10"/>
                            <w:sz w:val="16"/>
                            <w:szCs w:val="16"/>
                            <w:bdr w:val="none" w:color="auto" w:sz="0" w:space="0"/>
                          </w:rPr>
                          <w:t>12小时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Style w:val="6"/>
                      <w:rFonts w:hint="eastAsia" w:ascii="宋体" w:hAnsi="宋体" w:eastAsia="宋体" w:cs="宋体"/>
                      <w:sz w:val="19"/>
                      <w:szCs w:val="19"/>
                      <w:bdr w:val="none" w:color="auto" w:sz="0" w:space="0"/>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1.通过“全国硕士研究生招生调剂服务系统”进行调剂申请。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2.学院登录调剂系统按照“接受调剂的基本要求”综合评判，择优选择符合条件的考生。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3.调剂名单报研究生院招生办审核通过后向拟复试考生发调剂复试通知并对外公布。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4.考生参加复试后，学院向研究生院报送拟录取名单。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5.在调剂系统向拟录取的调剂生发送待录取通知。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6.考生在通知规定的时间内登录调剂系统接受待录取。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Style w:val="6"/>
                      <w:rFonts w:hint="eastAsia" w:ascii="宋体" w:hAnsi="宋体" w:eastAsia="宋体" w:cs="宋体"/>
                      <w:sz w:val="19"/>
                      <w:szCs w:val="19"/>
                      <w:bdr w:val="none" w:color="auto" w:sz="0" w:space="0"/>
                    </w:rPr>
                    <w:t>三、其他相关事宜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1.申请者如有弄虚作假，一经查实，将取消其调剂或录取资格。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2.请申请调剂的考生提前做好复试准备（复试科目及参考书目见南京林业大学2023年研究生招生目录，网址：(https://zyml.njfu.edu.cn/page/index.html）。</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3.复试合格拟录取的调剂考生必须在学校规定的时间内网上确认录取，否则，按考生自动放弃处理。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19"/>
                      <w:szCs w:val="19"/>
                      <w:bdr w:val="none" w:color="auto" w:sz="0" w:space="0"/>
                    </w:rPr>
                    <w:t>4.复试形式等其他内容请参照《信息科学技术学院2023年硕士研究生招生复试及录取工作细则》。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sz w:val="20"/>
                      <w:szCs w:val="20"/>
                      <w:bdr w:val="none" w:color="auto" w:sz="0" w:space="0"/>
                    </w:rPr>
                    <w:t>5.</w:t>
                  </w:r>
                  <w:r>
                    <w:rPr>
                      <w:rFonts w:hint="eastAsia" w:ascii="宋体" w:hAnsi="宋体" w:eastAsia="宋体" w:cs="宋体"/>
                      <w:sz w:val="19"/>
                      <w:szCs w:val="19"/>
                      <w:bdr w:val="none" w:color="auto" w:sz="0" w:space="0"/>
                    </w:rPr>
                    <w:t>调剂将综合考虑报考我院全日制进复试但未被录取的考生，如仍有缺额方接受其他调剂报考考生。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r>
                    <w:rPr>
                      <w:rFonts w:hint="eastAsia" w:ascii="宋体" w:hAnsi="宋体" w:eastAsia="宋体" w:cs="宋体"/>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pPr>
                </w:p>
              </w:tc>
            </w:tr>
          </w:tbl>
          <w:p>
            <w:pPr>
              <w:spacing w:before="0" w:beforeAutospacing="0" w:after="0" w:afterAutospacing="0" w:line="260" w:lineRule="atLeast"/>
              <w:ind w:left="0" w:right="0"/>
              <w:jc w:val="left"/>
              <w:rPr>
                <w:rFonts w:hint="eastAsia" w:ascii="宋体" w:hAnsi="宋体" w:eastAsia="宋体" w:cs="宋体"/>
                <w:i w:val="0"/>
                <w:iCs w:val="0"/>
                <w:caps w:val="0"/>
                <w:color w:val="000000"/>
                <w:spacing w:val="0"/>
                <w:sz w:val="14"/>
                <w:szCs w:val="1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5032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1081</Words>
  <Characters>1237</Characters>
  <Lines>0</Lines>
  <Paragraphs>0</Paragraphs>
  <TotalTime>0</TotalTime>
  <ScaleCrop>false</ScaleCrop>
  <LinksUpToDate>false</LinksUpToDate>
  <CharactersWithSpaces>1242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2023-04-25T10:02:06Z</dcterms:created>
  <dc:creator>Administrator</dc:creator>
  <cp:lastModifiedBy>王英</cp:lastModifiedBy>
  <dcterms:modified xsi:type="dcterms:W3CDTF">2023-04-25T10:02:13Z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DE6E7CD9F33B44FFAD9089A53910676E</vt:lpwstr>
  </property>
</Properties>
</file>