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5000" w:type="pct"/>
                  <w:shd w:val="clear"/>
                  <w:vAlign w:val="bottom"/>
                </w:tcPr>
                <w:p>
                  <w:pPr>
                    <w:keepNext w:val="0"/>
                    <w:keepLines w:val="0"/>
                    <w:widowControl/>
                    <w:suppressLineNumbers w:val="0"/>
                    <w:jc w:val="center"/>
                    <w:rPr>
                      <w:rFonts w:hint="eastAsia" w:ascii="Arial" w:hAnsi="Arial" w:cs="Arial"/>
                    </w:rPr>
                  </w:pPr>
                  <w:bookmarkStart w:id="0" w:name="_GoBack"/>
                  <w:r>
                    <w:rPr>
                      <w:rFonts w:hint="default" w:ascii="Arial" w:hAnsi="Arial" w:eastAsia="宋体" w:cs="Arial"/>
                      <w:b/>
                      <w:bCs/>
                      <w:color w:val="006E4E"/>
                      <w:kern w:val="0"/>
                      <w:sz w:val="22"/>
                      <w:szCs w:val="22"/>
                      <w:lang w:val="en-US" w:eastAsia="zh-CN" w:bidi="ar"/>
                    </w:rPr>
                    <w:t>轻工与食品学院2023年研究生招生第三批接受调剂公告</w:t>
                  </w:r>
                  <w:bookmarkEnd w:id="0"/>
                </w:p>
              </w:tc>
            </w:tr>
          </w:tbl>
          <w:p>
            <w:pPr>
              <w:spacing w:line="500" w:lineRule="atLeast"/>
              <w:jc w:val="center"/>
              <w:rPr>
                <w:rFonts w:hint="default" w:ascii="Arial" w:hAnsi="Arial" w:cs="Aria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5000" w:type="pct"/>
                  <w:shd w:val="clear"/>
                  <w:vAlign w:val="top"/>
                </w:tcPr>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pStyle w:val="2"/>
                          <w:keepNext w:val="0"/>
                          <w:keepLines w:val="0"/>
                          <w:widowControl/>
                          <w:suppressLineNumbers w:val="0"/>
                          <w:jc w:val="center"/>
                        </w:pPr>
                        <w:r>
                          <w:rPr>
                            <w:rFonts w:hint="default" w:ascii="Arial" w:hAnsi="Arial" w:cs="Arial"/>
                          </w:rPr>
                          <w:t>[ 发布时间：2023-04-12 ]</w:t>
                        </w:r>
                      </w:p>
                      <w:p>
                        <w:pPr>
                          <w:keepNext w:val="0"/>
                          <w:keepLines w:val="0"/>
                          <w:widowControl/>
                          <w:suppressLineNumbers w:val="0"/>
                          <w:jc w:val="center"/>
                        </w:pPr>
                        <w:r>
                          <w:pict>
                            <v:rect id="_x0000_i1025" o:spt="1" style="height:0.75pt;width:423.35pt;" fillcolor="#A0A0A0" filled="t" stroked="f" coordsize="21600,21600" o:hr="t" o:hrstd="t" o:hralign="center">
                              <v:path/>
                              <v:fill on="t" focussize="0,0"/>
                              <v:stroke on="f"/>
                              <v:imagedata o:title=""/>
                              <o:lock v:ext="edit"/>
                              <w10:wrap type="none"/>
                              <w10:anchorlock/>
                            </v:rect>
                          </w:pict>
                        </w:r>
                      </w:p>
                    </w:tc>
                  </w:tr>
                </w:tbl>
                <w:p>
                  <w:pPr>
                    <w:rPr>
                      <w:vanish/>
                      <w:sz w:val="24"/>
                      <w:szCs w:val="24"/>
                    </w:rPr>
                  </w:pPr>
                </w:p>
                <w:tbl>
                  <w:tblPr>
                    <w:tblW w:w="4900" w:type="pct"/>
                    <w:jc w:val="center"/>
                    <w:tblCellSpacing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75" w:type="dxa"/>
                      <w:left w:w="75" w:type="dxa"/>
                      <w:bottom w:w="75" w:type="dxa"/>
                      <w:right w:w="75"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30" w:type="dxa"/>
                      <w:jc w:val="center"/>
                    </w:trPr>
                    <w:tc>
                      <w:tcPr>
                        <w:tcW w:w="0" w:type="auto"/>
                        <w:shd w:val="clear"/>
                        <w:vAlign w:val="center"/>
                      </w:tcPr>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各位考生：  </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根据教育部、江苏省教育厅及南京林业大学2023年研究生招生工作会议精神，结合我院招生实际，现就各专业接受调剂的情况公告如下：</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一、接受调剂基本要求</w:t>
                        </w:r>
                      </w:p>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1.初试总分、单科高于A类地区国家线。</w:t>
                        </w:r>
                      </w:p>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2.与第一志愿报考专业相同或相近。</w:t>
                        </w:r>
                      </w:p>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3.初试科目与调入专业初试科目相同或相近，其中统考科目应为英一、数二或英一、数一。</w:t>
                        </w:r>
                      </w:p>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二、接受调剂专业和缺额信息 </w:t>
                        </w:r>
                      </w:p>
                      <w:tbl>
                        <w:tblPr>
                          <w:tblW w:w="3880" w:type="dxa"/>
                          <w:tblCellSpacing w:w="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820"/>
                          <w:gridCol w:w="1260"/>
                          <w:gridCol w:w="820"/>
                          <w:gridCol w:w="98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rPr>
                            <w:tblCellSpacing w:w="0" w:type="dxa"/>
                          </w:trPr>
                          <w:tc>
                            <w:tcPr>
                              <w:tcW w:w="820" w:type="dxa"/>
                              <w:tcBorders>
                                <w:top w:val="outset" w:color="auto" w:sz="4" w:space="0"/>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类型</w:t>
                              </w:r>
                            </w:p>
                          </w:tc>
                          <w:tc>
                            <w:tcPr>
                              <w:tcW w:w="1260" w:type="dxa"/>
                              <w:tcBorders>
                                <w:top w:val="outset" w:color="auto" w:sz="4" w:space="0"/>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招收专业代码及专业名称</w:t>
                              </w:r>
                            </w:p>
                          </w:tc>
                          <w:tc>
                            <w:tcPr>
                              <w:tcW w:w="820" w:type="dxa"/>
                              <w:tcBorders>
                                <w:top w:val="outset" w:color="auto" w:sz="4" w:space="0"/>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学习方式</w:t>
                              </w:r>
                            </w:p>
                          </w:tc>
                          <w:tc>
                            <w:tcPr>
                              <w:tcW w:w="980" w:type="dxa"/>
                              <w:tcBorders>
                                <w:top w:val="outset" w:color="auto" w:sz="4" w:space="0"/>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调剂名额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82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学术硕士</w:t>
                              </w:r>
                            </w:p>
                          </w:tc>
                          <w:tc>
                            <w:tcPr>
                              <w:tcW w:w="126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082201制浆造纸工程</w:t>
                              </w:r>
                            </w:p>
                          </w:tc>
                          <w:tc>
                            <w:tcPr>
                              <w:tcW w:w="82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全日制</w:t>
                              </w:r>
                            </w:p>
                          </w:tc>
                          <w:tc>
                            <w:tcPr>
                              <w:tcW w:w="98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ascii="Calibri" w:hAnsi="Calibri" w:eastAsia="宋体" w:cs="Calibri"/>
                                  <w:sz w:val="16"/>
                                  <w:szCs w:val="16"/>
                                  <w:bdr w:val="none" w:color="auto" w:sz="0" w:space="0"/>
                                </w:rPr>
                                <w:t>1</w:t>
                              </w:r>
                            </w:p>
                          </w:tc>
                        </w:tr>
                      </w:tbl>
                      <w:p>
                        <w:pPr>
                          <w:pStyle w:val="2"/>
                          <w:keepNext w:val="0"/>
                          <w:keepLines w:val="0"/>
                          <w:widowControl/>
                          <w:suppressLineNumbers w:val="0"/>
                          <w:ind w:left="0" w:firstLine="210"/>
                        </w:pPr>
                        <w:r>
                          <w:rPr>
                            <w:rFonts w:hint="eastAsia" w:ascii="宋体" w:hAnsi="宋体" w:eastAsia="宋体" w:cs="宋体"/>
                            <w:color w:val="555555"/>
                            <w:spacing w:val="10"/>
                            <w:sz w:val="10"/>
                            <w:szCs w:val="10"/>
                          </w:rPr>
                          <w:t>三、调剂程序  </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1.登录全国硕士研究生招生考试网上调剂系统（https://yz.chsi.cn/yztj/）进行调剂申请。</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2.调剂系统开通时间：4月12日12:00-4月13日00:00。</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3.学院登录调剂系统按照“一、接受调剂的基本要求”综合评判，择优选择符合条件的考生。调剂名单报研究生院招生办审核通过后向拟复试考生发调剂复试通知并对外公布。</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4.考生参加复试后，学院向研究生院报送拟录取名单。</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5.在调剂系统向拟录取的调剂生发送待录取通知。</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6.考生在通知规定的时间内登录调剂系统接受待录取。</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四、其他相关事宜 </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1.申请者如有弄虚作假，一经查实，将取消其调剂或录取资格。</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2.请申请调剂的考生提前做好复试准备，复试科目将采用线上回答（专业背景相关问题）的方式。</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3.复试合格拟录取的调剂考生必须在学校规定的时间内网上确认录取，否则，按考生自动放弃处理。</w:t>
                        </w:r>
                      </w:p>
                      <w:p>
                        <w:pPr>
                          <w:pStyle w:val="2"/>
                          <w:keepNext w:val="0"/>
                          <w:keepLines w:val="0"/>
                          <w:widowControl/>
                          <w:suppressLineNumbers w:val="0"/>
                        </w:pPr>
                        <w:r>
                          <w:rPr>
                            <w:rFonts w:hint="eastAsia" w:ascii="宋体" w:hAnsi="宋体" w:eastAsia="宋体" w:cs="宋体"/>
                            <w:color w:val="555555"/>
                            <w:spacing w:val="10"/>
                            <w:sz w:val="10"/>
                            <w:szCs w:val="10"/>
                          </w:rPr>
                          <w:t>4.复试形式等其他内容请参照《轻工与食品学院2023年硕士研究生复试、调剂、录取工作方案》（</w:t>
                        </w:r>
                        <w:r>
                          <w:rPr>
                            <w:rFonts w:hint="default" w:ascii="Arial" w:hAnsi="Arial" w:cs="Arial"/>
                          </w:rPr>
                          <w:fldChar w:fldCharType="begin"/>
                        </w:r>
                        <w:r>
                          <w:rPr>
                            <w:rFonts w:hint="default" w:ascii="Arial" w:hAnsi="Arial" w:cs="Arial"/>
                          </w:rPr>
                          <w:instrText xml:space="preserve"> HYPERLINK "https://qg.njfu.edu.cn/tzgg/20230323/i269401.html%EF%BC%89%E3%80%82" </w:instrText>
                        </w:r>
                        <w:r>
                          <w:rPr>
                            <w:rFonts w:hint="default" w:ascii="Arial" w:hAnsi="Arial" w:cs="Arial"/>
                          </w:rPr>
                          <w:fldChar w:fldCharType="separate"/>
                        </w:r>
                        <w:r>
                          <w:rPr>
                            <w:rFonts w:hint="default" w:ascii="Arial" w:hAnsi="Arial" w:cs="Arial"/>
                          </w:rPr>
                          <w:fldChar w:fldCharType="end"/>
                        </w:r>
                        <w:r>
                          <w:rPr>
                            <w:rFonts w:hint="eastAsia" w:ascii="宋体" w:hAnsi="宋体" w:eastAsia="宋体" w:cs="宋体"/>
                            <w:color w:val="555555"/>
                            <w:spacing w:val="10"/>
                            <w:sz w:val="10"/>
                            <w:szCs w:val="10"/>
                          </w:rPr>
                          <w:t>https://qg.njfu.edu.cn/）。</w:t>
                        </w:r>
                      </w:p>
                    </w:tc>
                  </w:tr>
                </w:tbl>
                <w:p>
                  <w:pPr>
                    <w:rPr>
                      <w:rFonts w:hint="default" w:ascii="Arial" w:hAnsi="Arial" w:cs="Arial"/>
                    </w:rPr>
                  </w:pPr>
                </w:p>
              </w:tc>
            </w:tr>
          </w:tbl>
          <w:p>
            <w:pPr>
              <w:rPr>
                <w:rFonts w:hint="default" w:ascii="Arial" w:hAnsi="Arial" w:cs="Arial"/>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F5C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2023-04-25T10:23:01Z</dcterms:created>
  <dc:creator>Administrator</dc:creator>
  <cp:lastModifiedBy>王英</cp:lastModifiedBy>
  <dcterms:modified xsi:type="dcterms:W3CDTF">2023-04-25T10:23:22Z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0CA8870BFC8B42E9A5DA92EC4A6FDD5D</vt:lpwstr>
  </property>
</Properties>
</file>