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trPr>
              <w:tc>
                <w:tcPr>
                  <w:tcW w:w="5000" w:type="pct"/>
                  <w:shd w:val="clear"/>
                  <w:vAlign w:val="bottom"/>
                </w:tcPr>
                <w:p>
                  <w:pPr>
                    <w:keepNext w:val="0"/>
                    <w:keepLines w:val="0"/>
                    <w:widowControl/>
                    <w:suppressLineNumbers w:val="0"/>
                    <w:jc w:val="center"/>
                    <w:rPr>
                      <w:rFonts w:hint="eastAsia" w:ascii="Arial" w:hAnsi="Arial" w:cs="Arial"/>
                    </w:rPr>
                  </w:pPr>
                  <w:bookmarkStart w:id="0" w:name="_GoBack"/>
                  <w:r>
                    <w:rPr>
                      <w:rFonts w:hint="default" w:ascii="Arial" w:hAnsi="Arial" w:eastAsia="宋体" w:cs="Arial"/>
                      <w:b/>
                      <w:bCs/>
                      <w:color w:val="006E4E"/>
                      <w:kern w:val="0"/>
                      <w:sz w:val="22"/>
                      <w:szCs w:val="22"/>
                      <w:lang w:val="en-US" w:eastAsia="zh-CN" w:bidi="ar"/>
                    </w:rPr>
                    <w:t>轻工与食品学院2023年研究生招生第二批接受调剂公告</w:t>
                  </w:r>
                  <w:bookmarkEnd w:id="0"/>
                </w:p>
              </w:tc>
            </w:tr>
          </w:tbl>
          <w:p>
            <w:pPr>
              <w:spacing w:line="500" w:lineRule="atLeast"/>
              <w:jc w:val="center"/>
              <w:rPr>
                <w:rFonts w:hint="default" w:ascii="Arial" w:hAnsi="Arial" w:cs="Aria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5000" w:type="pct"/>
                  <w:shd w:val="clear"/>
                  <w:vAlign w:val="top"/>
                </w:tcPr>
                <w:tbl>
                  <w:tblPr>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vAlign w:val="center"/>
                      </w:tcPr>
                      <w:p>
                        <w:pPr>
                          <w:pStyle w:val="2"/>
                          <w:keepNext w:val="0"/>
                          <w:keepLines w:val="0"/>
                          <w:widowControl/>
                          <w:suppressLineNumbers w:val="0"/>
                          <w:jc w:val="center"/>
                        </w:pPr>
                        <w:r>
                          <w:rPr>
                            <w:rFonts w:hint="default" w:ascii="Arial" w:hAnsi="Arial" w:cs="Arial"/>
                          </w:rPr>
                          <w:t>[ 发布时间：2023-04-10 ]</w:t>
                        </w:r>
                      </w:p>
                      <w:p>
                        <w:pPr>
                          <w:keepNext w:val="0"/>
                          <w:keepLines w:val="0"/>
                          <w:widowControl/>
                          <w:suppressLineNumbers w:val="0"/>
                          <w:jc w:val="center"/>
                        </w:pPr>
                        <w:r>
                          <w:pict>
                            <v:rect id="_x0000_i1025" o:spt="1" style="height:0.75pt;width:423.35pt;" fillcolor="#A0A0A0" filled="t" stroked="f" coordsize="21600,21600" o:hr="t" o:hrstd="t" o:hralign="center">
                              <v:path/>
                              <v:fill on="t" focussize="0,0"/>
                              <v:stroke on="f"/>
                              <v:imagedata o:title=""/>
                              <o:lock v:ext="edit"/>
                              <w10:wrap type="none"/>
                              <w10:anchorlock/>
                            </v:rect>
                          </w:pict>
                        </w:r>
                      </w:p>
                    </w:tc>
                  </w:tr>
                </w:tbl>
                <w:p>
                  <w:pPr>
                    <w:rPr>
                      <w:vanish/>
                      <w:sz w:val="24"/>
                      <w:szCs w:val="24"/>
                    </w:rPr>
                  </w:pPr>
                </w:p>
                <w:tbl>
                  <w:tblPr>
                    <w:tblW w:w="4900" w:type="pct"/>
                    <w:jc w:val="center"/>
                    <w:tblCellSpacing w:w="3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75" w:type="dxa"/>
                      <w:left w:w="75" w:type="dxa"/>
                      <w:bottom w:w="75" w:type="dxa"/>
                      <w:right w:w="75" w:type="dxa"/>
                    </w:tblCellMar>
                  </w:tblPr>
                  <w:tblGrid>
                    <w:gridCol w:w="8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75" w:type="dxa"/>
                        <w:left w:w="75" w:type="dxa"/>
                        <w:bottom w:w="75" w:type="dxa"/>
                        <w:right w:w="75" w:type="dxa"/>
                      </w:tblCellMar>
                    </w:tblPrEx>
                    <w:trPr>
                      <w:tblCellSpacing w:w="30" w:type="dxa"/>
                      <w:jc w:val="center"/>
                    </w:trPr>
                    <w:tc>
                      <w:tcPr>
                        <w:tcW w:w="0" w:type="auto"/>
                        <w:shd w:val="clear"/>
                        <w:vAlign w:val="center"/>
                      </w:tcPr>
                      <w:p>
                        <w:pPr>
                          <w:pStyle w:val="2"/>
                          <w:keepNext w:val="0"/>
                          <w:keepLines w:val="0"/>
                          <w:widowControl/>
                          <w:suppressLineNumbers w:val="0"/>
                          <w:ind w:left="0" w:firstLine="210"/>
                          <w:jc w:val="both"/>
                        </w:pPr>
                        <w:r>
                          <w:rPr>
                            <w:rFonts w:hint="eastAsia" w:ascii="宋体" w:hAnsi="宋体" w:eastAsia="宋体" w:cs="宋体"/>
                            <w:color w:val="555555"/>
                            <w:spacing w:val="10"/>
                            <w:sz w:val="10"/>
                            <w:szCs w:val="10"/>
                          </w:rPr>
                          <w:t>各位考生：  </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根据教育部、江苏省教育厅及南京林业大学2023年研究生招生工作会议精神，结合我院招生实际，现就各专业接受调剂的情况公告如下：</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一、接受调剂基本要求</w:t>
                        </w:r>
                      </w:p>
                      <w:p>
                        <w:pPr>
                          <w:pStyle w:val="2"/>
                          <w:keepNext w:val="0"/>
                          <w:keepLines w:val="0"/>
                          <w:widowControl/>
                          <w:suppressLineNumbers w:val="0"/>
                          <w:ind w:left="210" w:right="0"/>
                        </w:pPr>
                        <w:r>
                          <w:rPr>
                            <w:rFonts w:hint="eastAsia" w:ascii="宋体" w:hAnsi="宋体" w:eastAsia="宋体" w:cs="宋体"/>
                            <w:color w:val="555555"/>
                            <w:spacing w:val="10"/>
                            <w:sz w:val="10"/>
                            <w:szCs w:val="10"/>
                          </w:rPr>
                          <w:t>（一）082201制浆造纸工程、082203发酵工程、0822Z1印刷与包装工程  调剂要求</w:t>
                        </w:r>
                      </w:p>
                      <w:p>
                        <w:pPr>
                          <w:pStyle w:val="2"/>
                          <w:keepNext w:val="0"/>
                          <w:keepLines w:val="0"/>
                          <w:widowControl/>
                          <w:suppressLineNumbers w:val="0"/>
                          <w:ind w:left="0" w:firstLine="210"/>
                          <w:jc w:val="both"/>
                        </w:pPr>
                        <w:r>
                          <w:rPr>
                            <w:rFonts w:hint="eastAsia" w:ascii="宋体" w:hAnsi="宋体" w:eastAsia="宋体" w:cs="宋体"/>
                            <w:color w:val="555555"/>
                            <w:spacing w:val="10"/>
                            <w:sz w:val="10"/>
                            <w:szCs w:val="10"/>
                          </w:rPr>
                          <w:t>1.初试总分、单科高于A类地区国家线。</w:t>
                        </w:r>
                      </w:p>
                      <w:p>
                        <w:pPr>
                          <w:pStyle w:val="2"/>
                          <w:keepNext w:val="0"/>
                          <w:keepLines w:val="0"/>
                          <w:widowControl/>
                          <w:suppressLineNumbers w:val="0"/>
                          <w:ind w:left="0" w:firstLine="210"/>
                          <w:jc w:val="both"/>
                        </w:pPr>
                        <w:r>
                          <w:rPr>
                            <w:rFonts w:hint="eastAsia" w:ascii="宋体" w:hAnsi="宋体" w:eastAsia="宋体" w:cs="宋体"/>
                            <w:color w:val="555555"/>
                            <w:spacing w:val="10"/>
                            <w:sz w:val="10"/>
                            <w:szCs w:val="10"/>
                          </w:rPr>
                          <w:t>2.与第一志愿报考专业相同或相近。</w:t>
                        </w:r>
                      </w:p>
                      <w:p>
                        <w:pPr>
                          <w:pStyle w:val="2"/>
                          <w:keepNext w:val="0"/>
                          <w:keepLines w:val="0"/>
                          <w:widowControl/>
                          <w:suppressLineNumbers w:val="0"/>
                          <w:ind w:left="0" w:firstLine="210"/>
                          <w:jc w:val="both"/>
                        </w:pPr>
                        <w:r>
                          <w:rPr>
                            <w:rFonts w:hint="eastAsia" w:ascii="宋体" w:hAnsi="宋体" w:eastAsia="宋体" w:cs="宋体"/>
                            <w:color w:val="555555"/>
                            <w:spacing w:val="10"/>
                            <w:sz w:val="10"/>
                            <w:szCs w:val="10"/>
                          </w:rPr>
                          <w:t>3.初试科目与调入专业初试科目相同或相近，其中统考科目应为英一、数二或英一、数一。</w:t>
                        </w:r>
                      </w:p>
                      <w:p>
                        <w:pPr>
                          <w:pStyle w:val="2"/>
                          <w:keepNext w:val="0"/>
                          <w:keepLines w:val="0"/>
                          <w:widowControl/>
                          <w:suppressLineNumbers w:val="0"/>
                          <w:ind w:left="0" w:firstLine="210"/>
                          <w:jc w:val="both"/>
                        </w:pPr>
                        <w:r>
                          <w:rPr>
                            <w:rFonts w:hint="eastAsia" w:ascii="宋体" w:hAnsi="宋体" w:eastAsia="宋体" w:cs="宋体"/>
                            <w:color w:val="555555"/>
                            <w:spacing w:val="10"/>
                            <w:sz w:val="10"/>
                            <w:szCs w:val="10"/>
                          </w:rPr>
                          <w:t>二、接受调剂专业和缺额信息 </w:t>
                        </w:r>
                      </w:p>
                      <w:tbl>
                        <w:tblPr>
                          <w:tblW w:w="3880" w:type="dxa"/>
                          <w:jc w:val="center"/>
                          <w:tblCellSpacing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820"/>
                          <w:gridCol w:w="1260"/>
                          <w:gridCol w:w="820"/>
                          <w:gridCol w:w="98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820" w:type="dxa"/>
                              <w:tcBorders>
                                <w:top w:val="outset" w:color="auto" w:sz="4" w:space="0"/>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类型</w:t>
                              </w:r>
                            </w:p>
                          </w:tc>
                          <w:tc>
                            <w:tcPr>
                              <w:tcW w:w="1260" w:type="dxa"/>
                              <w:tcBorders>
                                <w:top w:val="outset" w:color="auto" w:sz="4" w:space="0"/>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招收专业代码及专业名称</w:t>
                              </w:r>
                            </w:p>
                          </w:tc>
                          <w:tc>
                            <w:tcPr>
                              <w:tcW w:w="820" w:type="dxa"/>
                              <w:tcBorders>
                                <w:top w:val="outset" w:color="auto" w:sz="4" w:space="0"/>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学习方式</w:t>
                              </w:r>
                            </w:p>
                          </w:tc>
                          <w:tc>
                            <w:tcPr>
                              <w:tcW w:w="980" w:type="dxa"/>
                              <w:tcBorders>
                                <w:top w:val="outset" w:color="auto" w:sz="4" w:space="0"/>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调剂名额</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820" w:type="dxa"/>
                              <w:tcBorders>
                                <w:top w:val="nil"/>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学术硕士</w:t>
                              </w:r>
                            </w:p>
                          </w:tc>
                          <w:tc>
                            <w:tcPr>
                              <w:tcW w:w="1260" w:type="dxa"/>
                              <w:tcBorders>
                                <w:top w:val="nil"/>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082203发酵工程</w:t>
                              </w:r>
                            </w:p>
                          </w:tc>
                          <w:tc>
                            <w:tcPr>
                              <w:tcW w:w="820" w:type="dxa"/>
                              <w:tcBorders>
                                <w:top w:val="nil"/>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全日制</w:t>
                              </w:r>
                            </w:p>
                          </w:tc>
                          <w:tc>
                            <w:tcPr>
                              <w:tcW w:w="980" w:type="dxa"/>
                              <w:tcBorders>
                                <w:top w:val="nil"/>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2 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820" w:type="dxa"/>
                              <w:tcBorders>
                                <w:top w:val="nil"/>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学术硕士</w:t>
                              </w:r>
                            </w:p>
                          </w:tc>
                          <w:tc>
                            <w:tcPr>
                              <w:tcW w:w="1260" w:type="dxa"/>
                              <w:tcBorders>
                                <w:top w:val="nil"/>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0822Z1印刷与包装工程</w:t>
                              </w:r>
                            </w:p>
                          </w:tc>
                          <w:tc>
                            <w:tcPr>
                              <w:tcW w:w="820" w:type="dxa"/>
                              <w:tcBorders>
                                <w:top w:val="nil"/>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全日制</w:t>
                              </w:r>
                            </w:p>
                          </w:tc>
                          <w:tc>
                            <w:tcPr>
                              <w:tcW w:w="980" w:type="dxa"/>
                              <w:tcBorders>
                                <w:top w:val="nil"/>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1 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820" w:type="dxa"/>
                              <w:tcBorders>
                                <w:top w:val="nil"/>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学术硕士</w:t>
                              </w:r>
                            </w:p>
                          </w:tc>
                          <w:tc>
                            <w:tcPr>
                              <w:tcW w:w="1260" w:type="dxa"/>
                              <w:tcBorders>
                                <w:top w:val="nil"/>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082201制浆造纸工程</w:t>
                              </w:r>
                            </w:p>
                          </w:tc>
                          <w:tc>
                            <w:tcPr>
                              <w:tcW w:w="820" w:type="dxa"/>
                              <w:tcBorders>
                                <w:top w:val="nil"/>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jc w:val="center"/>
                                <w:textAlignment w:val="center"/>
                              </w:pPr>
                              <w:r>
                                <w:rPr>
                                  <w:rFonts w:hint="eastAsia" w:ascii="宋体" w:hAnsi="宋体" w:eastAsia="宋体" w:cs="宋体"/>
                                  <w:color w:val="555555"/>
                                  <w:spacing w:val="10"/>
                                  <w:sz w:val="10"/>
                                  <w:szCs w:val="10"/>
                                  <w:bdr w:val="none" w:color="auto" w:sz="0" w:space="0"/>
                                </w:rPr>
                                <w:t>全日制</w:t>
                              </w:r>
                            </w:p>
                          </w:tc>
                          <w:tc>
                            <w:tcPr>
                              <w:tcW w:w="980" w:type="dxa"/>
                              <w:tcBorders>
                                <w:top w:val="nil"/>
                                <w:left w:val="outset" w:color="auto" w:sz="4" w:space="0"/>
                                <w:bottom w:val="outset" w:color="auto" w:sz="4" w:space="0"/>
                                <w:right w:val="outset" w:color="auto" w:sz="4" w:space="0"/>
                              </w:tcBorders>
                              <w:shd w:val="clear"/>
                              <w:tcMar>
                                <w:top w:w="0" w:type="dxa"/>
                                <w:left w:w="0" w:type="dxa"/>
                                <w:bottom w:w="0" w:type="dxa"/>
                                <w:right w:w="0" w:type="dxa"/>
                              </w:tcMar>
                              <w:vAlign w:val="center"/>
                            </w:tcPr>
                            <w:p>
                              <w:pPr>
                                <w:pStyle w:val="2"/>
                                <w:keepNext w:val="0"/>
                                <w:keepLines w:val="0"/>
                                <w:widowControl/>
                                <w:suppressLineNumbers w:val="0"/>
                                <w:ind w:left="0" w:firstLine="460"/>
                                <w:jc w:val="both"/>
                                <w:textAlignment w:val="center"/>
                              </w:pPr>
                              <w:r>
                                <w:rPr>
                                  <w:rFonts w:hint="eastAsia" w:ascii="宋体" w:hAnsi="宋体" w:eastAsia="宋体" w:cs="宋体"/>
                                  <w:color w:val="555555"/>
                                  <w:spacing w:val="10"/>
                                  <w:sz w:val="10"/>
                                  <w:szCs w:val="10"/>
                                  <w:bdr w:val="none" w:color="auto" w:sz="0" w:space="0"/>
                                </w:rPr>
                                <w:t>4</w:t>
                              </w:r>
                            </w:p>
                          </w:tc>
                        </w:tr>
                      </w:tbl>
                      <w:p>
                        <w:pPr>
                          <w:pStyle w:val="2"/>
                          <w:keepNext w:val="0"/>
                          <w:keepLines w:val="0"/>
                          <w:widowControl/>
                          <w:suppressLineNumbers w:val="0"/>
                          <w:ind w:left="0" w:firstLine="210"/>
                          <w:jc w:val="both"/>
                        </w:pPr>
                      </w:p>
                      <w:p>
                        <w:pPr>
                          <w:pStyle w:val="2"/>
                          <w:keepNext w:val="0"/>
                          <w:keepLines w:val="0"/>
                          <w:widowControl/>
                          <w:suppressLineNumbers w:val="0"/>
                          <w:ind w:left="0" w:firstLine="210"/>
                        </w:pPr>
                        <w:r>
                          <w:rPr>
                            <w:rFonts w:hint="eastAsia" w:ascii="宋体" w:hAnsi="宋体" w:eastAsia="宋体" w:cs="宋体"/>
                            <w:color w:val="555555"/>
                            <w:spacing w:val="10"/>
                            <w:sz w:val="10"/>
                            <w:szCs w:val="10"/>
                          </w:rPr>
                          <w:t>三、调剂程序  </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1.登录全国硕士研究生招生考试网上调剂系统（https://yz.chsi.cn/yztj/）进行调剂申请。</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2.调剂系统开通时间：4月10日12:30-4月11日12:00。</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3.学院登录调剂系统按照“一、接受调剂的基本要求”综合评判，择优选择符合条件的考生。调剂名单报研究生院招生办审核通过后向拟复试考生发调剂复试通知并对外公布。</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4.考生参加复试后，学院向研究生院报送拟录取名单。</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5.在调剂系统向拟录取的调剂生发送待录取通知。</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6.考生在通知规定的时间内登录调剂系统接受待录取。</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四、其他相关事宜 </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1.申请者如有弄虚作假，一经查实，将取消其调剂或录取资格。</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2.请申请调剂的考生提前做好复试准备，复试科目将采用线上回答（专业背景相关问题）的方式。</w:t>
                        </w:r>
                      </w:p>
                      <w:p>
                        <w:pPr>
                          <w:pStyle w:val="2"/>
                          <w:keepNext w:val="0"/>
                          <w:keepLines w:val="0"/>
                          <w:widowControl/>
                          <w:suppressLineNumbers w:val="0"/>
                          <w:ind w:left="0" w:firstLine="210"/>
                        </w:pPr>
                        <w:r>
                          <w:rPr>
                            <w:rFonts w:hint="eastAsia" w:ascii="宋体" w:hAnsi="宋体" w:eastAsia="宋体" w:cs="宋体"/>
                            <w:color w:val="555555"/>
                            <w:spacing w:val="10"/>
                            <w:sz w:val="10"/>
                            <w:szCs w:val="10"/>
                          </w:rPr>
                          <w:t>3.复试合格拟录取的调剂考生必须在学校规定的时间内网上确认录取，否则，按考生自动放弃处理。</w:t>
                        </w:r>
                      </w:p>
                      <w:p>
                        <w:pPr>
                          <w:pStyle w:val="2"/>
                          <w:keepNext w:val="0"/>
                          <w:keepLines w:val="0"/>
                          <w:widowControl/>
                          <w:suppressLineNumbers w:val="0"/>
                        </w:pPr>
                        <w:r>
                          <w:rPr>
                            <w:rFonts w:hint="eastAsia" w:ascii="宋体" w:hAnsi="宋体" w:eastAsia="宋体" w:cs="宋体"/>
                            <w:color w:val="555555"/>
                            <w:spacing w:val="10"/>
                            <w:sz w:val="10"/>
                            <w:szCs w:val="10"/>
                          </w:rPr>
                          <w:t>4.复试形式等其他内容请参照《轻工与食品学院2023年硕士研究生复试、调剂、录取工作方案》（</w:t>
                        </w:r>
                        <w:r>
                          <w:rPr>
                            <w:rFonts w:hint="default" w:ascii="Arial" w:hAnsi="Arial" w:cs="Arial"/>
                          </w:rPr>
                          <w:fldChar w:fldCharType="begin"/>
                        </w:r>
                        <w:r>
                          <w:rPr>
                            <w:rFonts w:hint="default" w:ascii="Arial" w:hAnsi="Arial" w:cs="Arial"/>
                          </w:rPr>
                          <w:instrText xml:space="preserve"> HYPERLINK "https://qg.njfu.edu.cn/tzgg/20230323/i269401.html%EF%BC%89%E3%80%82" </w:instrText>
                        </w:r>
                        <w:r>
                          <w:rPr>
                            <w:rFonts w:hint="default" w:ascii="Arial" w:hAnsi="Arial" w:cs="Arial"/>
                          </w:rPr>
                          <w:fldChar w:fldCharType="separate"/>
                        </w:r>
                        <w:r>
                          <w:rPr>
                            <w:rFonts w:hint="default" w:ascii="Arial" w:hAnsi="Arial" w:cs="Arial"/>
                          </w:rPr>
                          <w:fldChar w:fldCharType="end"/>
                        </w:r>
                        <w:r>
                          <w:rPr>
                            <w:rFonts w:hint="eastAsia" w:ascii="宋体" w:hAnsi="宋体" w:eastAsia="宋体" w:cs="宋体"/>
                            <w:color w:val="555555"/>
                            <w:spacing w:val="10"/>
                            <w:sz w:val="10"/>
                            <w:szCs w:val="10"/>
                          </w:rPr>
                          <w:t>https://qg.njfu.edu.cn/）。</w:t>
                        </w:r>
                      </w:p>
                    </w:tc>
                  </w:tr>
                </w:tbl>
                <w:p>
                  <w:pPr>
                    <w:rPr>
                      <w:rFonts w:hint="default" w:ascii="Arial" w:hAnsi="Arial" w:cs="Arial"/>
                    </w:rPr>
                  </w:pPr>
                </w:p>
              </w:tc>
            </w:tr>
          </w:tbl>
          <w:p>
            <w:pPr>
              <w:rPr>
                <w:rFonts w:hint="default" w:ascii="Arial" w:hAnsi="Arial" w:cs="Arial"/>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8010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2023-04-25T10:26:35Z</dcterms:created>
  <dc:creator>Administrator</dc:creator>
  <cp:lastModifiedBy>王英</cp:lastModifiedBy>
  <dcterms:modified xsi:type="dcterms:W3CDTF">2023-04-25T10:26:56Z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C04DD99E7C1145B3890417F88EDFBFBD</vt:lpwstr>
  </property>
</Properties>
</file>