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sz w:val="30"/>
          <w:szCs w:val="30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30"/>
          <w:szCs w:val="30"/>
          <w:bdr w:val="none" w:color="auto" w:sz="0" w:space="0"/>
          <w:lang w:val="en-US" w:eastAsia="zh-CN" w:bidi="ar"/>
        </w:rPr>
        <w:t>2023年公共事务学院社会工作非全日制硕士接收调剂专业及计划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1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发布时间：2023-04-04 | 浏览次数：【1413 】 | 作者：蒋民 | 编辑：蒋龙飞 | 审核人：赵奇栋</w:t>
      </w:r>
    </w:p>
    <w:tbl>
      <w:tblPr>
        <w:tblW w:w="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830"/>
        <w:gridCol w:w="830"/>
        <w:gridCol w:w="28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2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楷体_gb2312" w:eastAsia="楷体_gb2312" w:cs="楷体_gb2312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楷体_gb2312" w:eastAsia="楷体_gb2312" w:cs="楷体_gb2312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45人左右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0" w:right="0"/>
              <w:jc w:val="both"/>
            </w:pPr>
            <w:r>
              <w:rPr>
                <w:rFonts w:hint="default" w:ascii="楷体_gb2312" w:hAnsi="楷体_gb2312" w:eastAsia="楷体_gb2312" w:cs="楷体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考生符合国家调剂政策要求，初试成绩达到我校社会工作硕士复试分数线。（须登录“全国硕士生招生调剂服务系统”提交调剂志愿，开放时间为4月6日2-14点,录取类别为定向培养）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/>
              <w:ind w:left="320" w:right="0" w:hanging="320"/>
              <w:jc w:val="both"/>
            </w:pPr>
            <w:r>
              <w:rPr>
                <w:rFonts w:hint="default" w:ascii="楷体_gb2312" w:hAnsi="楷体_gb2312" w:eastAsia="楷体_gb2312" w:cs="楷体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注：其他复试相关信息见《2023年公共事务学院报考硕士研究生复试录取工作细则》中第五部分（“调剂”部分）。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98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2023-04-25T11:28:51Z</dcterms:created>
  <dc:creator>Administrator</dc:creator>
  <cp:lastModifiedBy>王英</cp:lastModifiedBy>
  <dcterms:modified xsi:type="dcterms:W3CDTF">2023-04-25T11:29:02Z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61BBF963FAD741428AC22D28D4470009</vt:lpwstr>
  </property>
</Properties>
</file>