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/>
        <w:jc w:val="center"/>
        <w:rPr>
          <w:b w:val="0"/>
          <w:bCs w:val="0"/>
          <w:color w:val="548235"/>
          <w:sz w:val="22"/>
          <w:szCs w:val="22"/>
        </w:rPr>
      </w:pPr>
      <w:bookmarkStart w:id="1" w:name="_GoBack"/>
      <w:r>
        <w:rPr>
          <w:b w:val="0"/>
          <w:bCs w:val="0"/>
          <w:color w:val="548235"/>
          <w:sz w:val="22"/>
          <w:szCs w:val="22"/>
          <w:bdr w:val="none" w:color="auto" w:sz="0" w:space="0"/>
        </w:rPr>
        <w:t>2023年环境与生物工程学院接收调剂公告</w:t>
      </w:r>
    </w:p>
    <w:bookmarkEnd w:id="1"/>
    <w:p>
      <w:pPr>
        <w:keepNext w:val="0"/>
        <w:keepLines w:val="0"/>
        <w:widowControl/>
        <w:suppressLineNumbers w:val="0"/>
        <w:spacing w:before="0" w:beforeAutospacing="0" w:after="0" w:afterAutospacing="0" w:line="240" w:lineRule="atLeast"/>
        <w:ind w:left="50" w:right="50"/>
        <w:jc w:val="center"/>
        <w:rPr>
          <w:color w:val="787878"/>
          <w:sz w:val="12"/>
          <w:szCs w:val="12"/>
        </w:rPr>
      </w:pPr>
      <w:r>
        <w:rPr>
          <w:rFonts w:ascii="宋体" w:hAnsi="宋体" w:eastAsia="宋体" w:cs="宋体"/>
          <w:color w:val="787878"/>
          <w:kern w:val="0"/>
          <w:sz w:val="12"/>
          <w:szCs w:val="12"/>
          <w:bdr w:val="none" w:color="auto" w:sz="0" w:space="0"/>
          <w:lang w:val="en-US" w:eastAsia="zh-CN" w:bidi="ar"/>
        </w:rPr>
        <w:t>时间:2023-04-03作者:环生学院审核:李健生编辑:陈鑫荣来源:环境与生物工程学院点击:3681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0" w:afterAutospacing="0" w:line="16" w:lineRule="atLeast"/>
        <w:ind w:left="0" w:right="0"/>
      </w:pPr>
      <w:r>
        <w:rPr>
          <w:color w:val="222222"/>
          <w:sz w:val="16"/>
          <w:szCs w:val="16"/>
        </w:rPr>
        <w:t> </w:t>
      </w:r>
      <w:r>
        <w:rPr>
          <w:color w:val="222222"/>
          <w:sz w:val="36"/>
          <w:szCs w:val="36"/>
        </w:rPr>
        <w:t>一、接收调剂专业及计划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0" w:afterAutospacing="0" w:line="16" w:lineRule="atLeast"/>
        <w:ind w:left="0" w:right="0"/>
      </w:pPr>
    </w:p>
    <w:tbl>
      <w:tblPr>
        <w:tblW w:w="83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34"/>
        <w:gridCol w:w="1814"/>
        <w:gridCol w:w="1198"/>
        <w:gridCol w:w="40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计划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lang w:val="en-US"/>
              </w:rPr>
              <w:t>081703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生物化工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人左右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初试成绩不低于我院该专业复试分数线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lang w:val="en-US"/>
              </w:rPr>
              <w:t>083001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环境科学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lang w:val="en-US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人左右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初试成绩不低于我院该专业复试分数线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lang w:val="en-US"/>
              </w:rPr>
              <w:t>086001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生物技术与工程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  <w:lang w:val="en-US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人左右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27"/>
                <w:szCs w:val="27"/>
              </w:rPr>
              <w:t>初试成绩不低于我院该专业复试分数线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/>
        <w:jc w:val="center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/>
      </w:pPr>
      <w:r>
        <w:rPr>
          <w:color w:val="222222"/>
          <w:sz w:val="27"/>
          <w:szCs w:val="27"/>
        </w:rPr>
        <w:t>二、复试方式、成绩计算及调剂办理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0" w:afterAutospacing="0" w:line="320" w:lineRule="atLeast"/>
        <w:ind w:left="0" w:right="0"/>
      </w:pPr>
      <w:bookmarkStart w:id="0" w:name="_GoBack"/>
      <w:bookmarkEnd w:id="0"/>
      <w:r>
        <w:rPr>
          <w:color w:val="222222"/>
          <w:sz w:val="27"/>
          <w:szCs w:val="27"/>
        </w:rPr>
        <w:t> （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1</w:t>
      </w:r>
      <w:r>
        <w:rPr>
          <w:color w:val="222222"/>
          <w:sz w:val="27"/>
          <w:szCs w:val="27"/>
        </w:rPr>
        <w:t>）调剂考生采用线下复试，复试内容参照环生院网站《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2023</w:t>
      </w:r>
      <w:r>
        <w:rPr>
          <w:color w:val="222222"/>
          <w:sz w:val="27"/>
          <w:szCs w:val="27"/>
        </w:rPr>
        <w:t>年环境与生物学院报考硕士研究生复试录取工作细则》中第二部分。</w:t>
      </w:r>
    </w:p>
    <w:p>
      <w:pPr>
        <w:pStyle w:val="3"/>
        <w:keepNext w:val="0"/>
        <w:keepLines w:val="0"/>
        <w:widowControl/>
        <w:suppressLineNumbers w:val="0"/>
        <w:spacing w:before="150" w:beforeAutospacing="0" w:after="0" w:afterAutospacing="0" w:line="320" w:lineRule="atLeast"/>
        <w:ind w:left="0" w:right="0" w:firstLine="840"/>
      </w:pPr>
      <w:r>
        <w:rPr>
          <w:color w:val="222222"/>
          <w:sz w:val="27"/>
          <w:szCs w:val="27"/>
        </w:rPr>
        <w:t> 复试采用综合面试的方式，总分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300</w:t>
      </w:r>
      <w:r>
        <w:rPr>
          <w:color w:val="222222"/>
          <w:sz w:val="27"/>
          <w:szCs w:val="27"/>
        </w:rPr>
        <w:t>分。各考核部分分值如下：专业知识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50</w:t>
      </w:r>
      <w:r>
        <w:rPr>
          <w:color w:val="222222"/>
          <w:sz w:val="27"/>
          <w:szCs w:val="27"/>
        </w:rPr>
        <w:t>分（结合考生本科专业及调剂专业进行专业知识考核），外语交流能力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40</w:t>
      </w:r>
      <w:r>
        <w:rPr>
          <w:color w:val="222222"/>
          <w:sz w:val="27"/>
          <w:szCs w:val="27"/>
        </w:rPr>
        <w:t>分，专业素质及能力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60</w:t>
      </w:r>
      <w:r>
        <w:rPr>
          <w:color w:val="222222"/>
          <w:sz w:val="27"/>
          <w:szCs w:val="27"/>
        </w:rPr>
        <w:t>分、实践和创新能力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70</w:t>
      </w:r>
      <w:r>
        <w:rPr>
          <w:color w:val="222222"/>
          <w:sz w:val="27"/>
          <w:szCs w:val="27"/>
        </w:rPr>
        <w:t>分、综合素质和能力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80</w:t>
      </w:r>
      <w:r>
        <w:rPr>
          <w:color w:val="222222"/>
          <w:sz w:val="27"/>
          <w:szCs w:val="27"/>
        </w:rPr>
        <w:t>分。复试成绩为各考核部分所得分值之和。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/>
      </w:pPr>
      <w:r>
        <w:rPr>
          <w:color w:val="222222"/>
          <w:sz w:val="27"/>
          <w:szCs w:val="27"/>
        </w:rPr>
        <w:t>总成绩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=</w:t>
      </w:r>
      <w:r>
        <w:rPr>
          <w:b/>
          <w:bCs/>
          <w:color w:val="222222"/>
          <w:sz w:val="27"/>
          <w:szCs w:val="27"/>
        </w:rPr>
        <w:t>初试规格化成绩</w:t>
      </w:r>
      <w:r>
        <w:rPr>
          <w:rFonts w:hint="eastAsia" w:ascii="宋体" w:hAnsi="宋体" w:eastAsia="宋体" w:cs="宋体"/>
          <w:b/>
          <w:bCs/>
          <w:color w:val="222222"/>
          <w:sz w:val="27"/>
          <w:szCs w:val="27"/>
          <w:lang w:val="en-US"/>
        </w:rPr>
        <w:t>×</w:t>
      </w:r>
      <w:r>
        <w:rPr>
          <w:rFonts w:hint="eastAsia" w:ascii="宋体" w:hAnsi="宋体" w:eastAsia="宋体" w:cs="宋体"/>
          <w:b/>
          <w:bCs/>
          <w:color w:val="222222"/>
          <w:sz w:val="27"/>
          <w:szCs w:val="27"/>
          <w:u w:val="single"/>
          <w:lang w:val="en-US"/>
        </w:rPr>
        <w:t>50_</w:t>
      </w:r>
      <w:r>
        <w:rPr>
          <w:rFonts w:hint="eastAsia" w:ascii="宋体" w:hAnsi="宋体" w:eastAsia="宋体" w:cs="宋体"/>
          <w:b/>
          <w:bCs/>
          <w:color w:val="222222"/>
          <w:sz w:val="27"/>
          <w:szCs w:val="27"/>
          <w:lang w:val="en-US"/>
        </w:rPr>
        <w:t>%+</w:t>
      </w:r>
      <w:r>
        <w:rPr>
          <w:b/>
          <w:bCs/>
          <w:color w:val="222222"/>
          <w:sz w:val="27"/>
          <w:szCs w:val="27"/>
        </w:rPr>
        <w:t>复试规格化成绩</w:t>
      </w:r>
      <w:r>
        <w:rPr>
          <w:rFonts w:hint="eastAsia" w:ascii="宋体" w:hAnsi="宋体" w:eastAsia="宋体" w:cs="宋体"/>
          <w:b/>
          <w:bCs/>
          <w:color w:val="222222"/>
          <w:sz w:val="27"/>
          <w:szCs w:val="27"/>
          <w:lang w:val="en-US"/>
        </w:rPr>
        <w:t>×</w:t>
      </w:r>
      <w:r>
        <w:rPr>
          <w:rFonts w:hint="eastAsia" w:ascii="宋体" w:hAnsi="宋体" w:eastAsia="宋体" w:cs="宋体"/>
          <w:b/>
          <w:bCs/>
          <w:color w:val="222222"/>
          <w:sz w:val="27"/>
          <w:szCs w:val="27"/>
          <w:u w:val="single"/>
          <w:lang w:val="en-US"/>
        </w:rPr>
        <w:t>_50_</w:t>
      </w:r>
      <w:r>
        <w:rPr>
          <w:rFonts w:hint="eastAsia" w:ascii="宋体" w:hAnsi="宋体" w:eastAsia="宋体" w:cs="宋体"/>
          <w:b/>
          <w:bCs/>
          <w:color w:val="222222"/>
          <w:sz w:val="27"/>
          <w:szCs w:val="27"/>
          <w:lang w:val="en-US"/>
        </w:rPr>
        <w:t>%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 w:hanging="360"/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562"/>
      </w:pPr>
      <w:r>
        <w:rPr>
          <w:color w:val="222222"/>
          <w:sz w:val="27"/>
          <w:szCs w:val="27"/>
        </w:rPr>
        <w:t> 初试规格化成绩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= (</w:t>
      </w:r>
      <w:r>
        <w:rPr>
          <w:color w:val="222222"/>
          <w:sz w:val="27"/>
          <w:szCs w:val="27"/>
        </w:rPr>
        <w:t>统考总分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/500)×100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 w:firstLine="562"/>
      </w:pPr>
      <w:r>
        <w:rPr>
          <w:color w:val="222222"/>
          <w:sz w:val="27"/>
          <w:szCs w:val="27"/>
        </w:rPr>
        <w:t> 复试规格化成绩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= (</w:t>
      </w:r>
      <w:r>
        <w:rPr>
          <w:color w:val="222222"/>
          <w:sz w:val="27"/>
          <w:szCs w:val="27"/>
        </w:rPr>
        <w:t>复试成绩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/300)×100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/>
      </w:pPr>
      <w:r>
        <w:rPr>
          <w:color w:val="222222"/>
          <w:sz w:val="27"/>
          <w:szCs w:val="27"/>
        </w:rPr>
        <w:t>（</w:t>
      </w:r>
      <w:r>
        <w:rPr>
          <w:rFonts w:hint="eastAsia" w:ascii="宋体" w:hAnsi="宋体" w:eastAsia="宋体" w:cs="宋体"/>
          <w:color w:val="222222"/>
          <w:sz w:val="27"/>
          <w:szCs w:val="27"/>
          <w:lang w:val="en-US"/>
        </w:rPr>
        <w:t>3</w:t>
      </w:r>
      <w:r>
        <w:rPr>
          <w:color w:val="222222"/>
          <w:sz w:val="27"/>
          <w:szCs w:val="27"/>
        </w:rPr>
        <w:t>）所有申请调剂的考生须登录“全国硕士生招生调剂服务系统”办理调剂，我校通过该系统发放复试通知，考生须在我院规定的时间内完成接受复试的信息确认，在规定时间内参加复试，复试不合格者不予录取，复试合格者择优录取。接到待录取信息的考生，须在我院规定时间内完成录取的信息确认，确认录取后不得更改。逾时未进行确认者视为自动放弃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20" w:lineRule="atLeast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674808"/>
    <w:multiLevelType w:val="multilevel"/>
    <w:tmpl w:val="02674808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39B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2023-04-25T11:18:35Z</dcterms:created>
  <dc:creator>Administrator</dc:creator>
  <cp:lastModifiedBy>王英</cp:lastModifiedBy>
  <dcterms:modified xsi:type="dcterms:W3CDTF">2023-04-25T11:18:43Z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6A2FABDD872C42858F3DFBD979454FD2</vt:lpwstr>
  </property>
</Properties>
</file>