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8D8D8" w:sz="4" w:space="6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8E3B91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8E3B91"/>
          <w:spacing w:val="0"/>
          <w:sz w:val="24"/>
          <w:szCs w:val="24"/>
          <w:bdr w:val="none" w:color="auto" w:sz="0" w:space="0"/>
        </w:rPr>
        <w:t>2023年知识产权学院全日制调剂复试（第二批）须知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</w:rPr>
        <w:t>作者：展黛审核人：展黛编辑：信息来源：知识产权学院发布时间：2023-04-09浏览次数：1100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Style w:val="6"/>
          <w:rFonts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2023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年知识产权学院全日制调剂复试（第二批）须知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l.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确认参加复试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: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请参加复试考生扫码 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(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见表后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)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缴纳复试费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80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资格审查材料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: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请考生参照《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年南京理工大学硕士研究生复试考生须知》 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https:/gs.njust,edu.cn/c3/74/c14687a312180/page.htm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的要求提交复试资格审查材料，并上交《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年诚信复试承诺书 》。所有材料于复试时提交给复试组专家。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复试时间定于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11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日进行，具体安排如下：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 w:firstLine="28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资格审查：</w:t>
      </w:r>
      <w:r>
        <w:rPr>
          <w:rFonts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2023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8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30-9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00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；地点：知识产权学院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209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 w:firstLine="28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笔试：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00-12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00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；地点：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知识产权学院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301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 w:firstLine="70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请考生提前</w:t>
      </w:r>
      <w:r>
        <w:rPr>
          <w:rStyle w:val="6"/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分钟到达考场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 w:firstLine="28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综合面试：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2023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14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：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00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开始；地点：知识产权学院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211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 w:firstLine="28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考生等候室：知识产权学院</w:t>
      </w:r>
      <w:r>
        <w:rPr>
          <w:rFonts w:hint="default" w:ascii="Times New Roman" w:hAnsi="Times New Roman" w:eastAsia="Tahoma" w:cs="Times New Roman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301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室，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请考生提前</w:t>
      </w:r>
      <w:r>
        <w:rPr>
          <w:rStyle w:val="6"/>
          <w:rFonts w:hint="default" w:ascii="Tahoma" w:hAnsi="Tahoma" w:eastAsia="Tahoma" w:cs="Tahoma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分钟到达等候室抽签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 w:firstLine="24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参加面试时，考生须提供反映其综合素质能力与水平的各类证明材料原件；学院为考生设立考前等候区，面试考生进入等候区应将手机关闭，保持安静；面试考生根据面试安排顺序，在工作人员的引导下依次到面试室面试。考生面试结束后应立即离开面试现场，不得再进入考前等候区或在复试室附近逗留，经工作人员劝导仍不服从安排者取消其面试成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60" w:afterAutospacing="0" w:line="210" w:lineRule="atLeast"/>
        <w:ind w:left="0" w:right="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-1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-1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温馨提示：考生凭准考证从二号门进入校园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tbl>
      <w:tblPr>
        <w:tblW w:w="96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1260"/>
        <w:gridCol w:w="797"/>
        <w:gridCol w:w="1097"/>
        <w:gridCol w:w="1185"/>
        <w:gridCol w:w="797"/>
        <w:gridCol w:w="797"/>
        <w:gridCol w:w="797"/>
        <w:gridCol w:w="797"/>
        <w:gridCol w:w="797"/>
        <w:gridCol w:w="7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100363999911698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丁雪莹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100273998051326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高薇涵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101833212241368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刘丽悦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104593411210001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密亚歌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100273998051125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王冰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105593260001164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吴菲帆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102843210512296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杨启凡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106983411914321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于泓凯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101403007008700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钟嘉玮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035102</w:t>
            </w:r>
          </w:p>
        </w:tc>
        <w:tc>
          <w:tcPr>
            <w:tcW w:w="11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法律（法学）</w:t>
            </w:r>
          </w:p>
        </w:tc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textAlignment w:val="bottom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Arial" w:hAnsi="Arial" w:eastAsia="Tahoma" w:cs="Arial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default" w:ascii="Tahoma" w:hAnsi="Tahoma" w:eastAsia="Tahoma" w:cs="Tahoma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69B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709</Words>
  <Characters>1060</Characters>
  <Lines>0</Lines>
  <Paragraphs>0</Paragraphs>
  <TotalTime>0</TotalTime>
  <ScaleCrop>false</ScaleCrop>
  <LinksUpToDate>false</LinksUpToDate>
  <CharactersWithSpaces>1080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2023-04-26T05:55:18Z</dcterms:created>
  <dc:creator>Administrator</dc:creator>
  <cp:lastModifiedBy>王英</cp:lastModifiedBy>
  <dcterms:modified xsi:type="dcterms:W3CDTF">2023-04-26T05:55:25Z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9698435BF89048F99644CA6E086814AB</vt:lpwstr>
  </property>
</Properties>
</file>