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line="480" w:lineRule="atLeast"/>
        <w:ind w:left="0" w:right="0"/>
        <w:jc w:val="center"/>
        <w:rPr>
          <w:rFonts w:ascii="微软雅黑" w:hAnsi="微软雅黑" w:eastAsia="微软雅黑" w:cs="微软雅黑"/>
          <w:color w:val="4C4C4C"/>
          <w:sz w:val="30"/>
          <w:szCs w:val="30"/>
        </w:rPr>
      </w:pPr>
      <w:bookmarkStart w:id="0" w:name="_GoBack"/>
      <w:r>
        <w:rPr>
          <w:rFonts w:hint="eastAsia" w:ascii="微软雅黑" w:hAnsi="微软雅黑" w:eastAsia="微软雅黑" w:cs="微软雅黑"/>
          <w:color w:val="4C4C4C"/>
          <w:sz w:val="30"/>
          <w:szCs w:val="30"/>
          <w:bdr w:val="none" w:color="auto" w:sz="0" w:space="0"/>
        </w:rPr>
        <w:t>南华大学军事科学院军事医学研究院研究生协作培养基地调剂系统开放公告</w:t>
      </w:r>
    </w:p>
    <w:bookmarkEnd w:id="0"/>
    <w:p>
      <w:pPr>
        <w:keepNext w:val="0"/>
        <w:keepLines w:val="0"/>
        <w:widowControl/>
        <w:suppressLineNumbers w:val="0"/>
        <w:pBdr>
          <w:top w:val="single" w:color="F1F1F1" w:sz="4" w:space="0"/>
          <w:left w:val="none" w:color="auto" w:sz="0" w:space="0"/>
          <w:bottom w:val="single" w:color="F1F1F1" w:sz="4" w:space="0"/>
          <w:right w:val="none" w:color="auto" w:sz="0" w:space="0"/>
        </w:pBdr>
        <w:spacing w:before="0" w:beforeAutospacing="0" w:after="0" w:afterAutospacing="0" w:line="380" w:lineRule="atLeast"/>
        <w:ind w:left="0" w:right="0"/>
        <w:jc w:val="center"/>
        <w:rPr>
          <w:rFonts w:hint="eastAsia" w:ascii="微软雅黑" w:hAnsi="微软雅黑" w:eastAsia="微软雅黑" w:cs="微软雅黑"/>
          <w:color w:val="949494"/>
          <w:sz w:val="14"/>
          <w:szCs w:val="14"/>
        </w:rPr>
      </w:pPr>
      <w:r>
        <w:rPr>
          <w:rFonts w:hint="eastAsia" w:ascii="微软雅黑" w:hAnsi="微软雅黑" w:eastAsia="微软雅黑" w:cs="微软雅黑"/>
          <w:color w:val="949494"/>
          <w:kern w:val="0"/>
          <w:sz w:val="14"/>
          <w:szCs w:val="14"/>
          <w:bdr w:val="none" w:color="auto" w:sz="0" w:space="0"/>
          <w:lang w:val="en-US" w:eastAsia="zh-CN" w:bidi="ar"/>
        </w:rPr>
        <w:t>2023年04月15日 10:22  点击：[</w:t>
      </w:r>
      <w:r>
        <w:rPr>
          <w:rFonts w:hint="eastAsia" w:ascii="微软雅黑" w:hAnsi="微软雅黑" w:eastAsia="微软雅黑" w:cs="微软雅黑"/>
          <w:color w:val="949494"/>
          <w:kern w:val="0"/>
          <w:sz w:val="16"/>
          <w:szCs w:val="16"/>
          <w:bdr w:val="none" w:color="auto" w:sz="0" w:space="0"/>
          <w:lang w:val="en-US" w:eastAsia="zh-CN" w:bidi="ar"/>
        </w:rPr>
        <w:t>3336</w:t>
      </w:r>
      <w:r>
        <w:rPr>
          <w:rFonts w:hint="eastAsia" w:ascii="微软雅黑" w:hAnsi="微软雅黑" w:eastAsia="微软雅黑" w:cs="微软雅黑"/>
          <w:color w:val="949494"/>
          <w:kern w:val="0"/>
          <w:sz w:val="14"/>
          <w:szCs w:val="14"/>
          <w:bdr w:val="none" w:color="auto" w:sz="0" w:space="0"/>
          <w:lang w:val="en-US" w:eastAsia="zh-CN" w:bidi="ar"/>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2F2F2"/>
        <w:spacing w:before="300" w:beforeAutospacing="0" w:after="200" w:afterAutospacing="0" w:line="480" w:lineRule="atLeast"/>
        <w:ind w:left="0" w:right="0" w:firstLine="420"/>
        <w:jc w:val="left"/>
        <w:rPr>
          <w:rFonts w:hint="eastAsia" w:ascii="微软雅黑" w:hAnsi="微软雅黑" w:eastAsia="微软雅黑" w:cs="微软雅黑"/>
          <w:color w:val="1A1A1A"/>
          <w:sz w:val="15"/>
          <w:szCs w:val="15"/>
        </w:rPr>
      </w:pPr>
      <w:r>
        <w:rPr>
          <w:rFonts w:hint="eastAsia" w:ascii="微软雅黑" w:hAnsi="微软雅黑" w:eastAsia="微软雅黑" w:cs="微软雅黑"/>
          <w:color w:val="1A1A1A"/>
          <w:sz w:val="16"/>
          <w:szCs w:val="16"/>
          <w:bdr w:val="none" w:color="auto" w:sz="0" w:space="0"/>
          <w:shd w:val="clear" w:fill="F2F2F2"/>
        </w:rPr>
        <w:t>南华大学军事科学院军事医学研究院研究生协作培养基地调剂系统开放时间：4月15日15:00至4月16日9:00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2F2F2"/>
        <w:spacing w:before="100" w:beforeAutospacing="0" w:after="100" w:afterAutospacing="0" w:line="210" w:lineRule="atLeast"/>
        <w:ind w:left="0" w:right="0" w:firstLine="320"/>
        <w:rPr>
          <w:rFonts w:hint="eastAsia" w:ascii="微软雅黑" w:hAnsi="微软雅黑" w:eastAsia="微软雅黑" w:cs="微软雅黑"/>
          <w:color w:val="1A1A1A"/>
          <w:sz w:val="15"/>
          <w:szCs w:val="15"/>
        </w:rPr>
      </w:pPr>
      <w:r>
        <w:rPr>
          <w:rFonts w:hint="eastAsia" w:ascii="微软雅黑" w:hAnsi="微软雅黑" w:eastAsia="微软雅黑" w:cs="微软雅黑"/>
          <w:color w:val="1A1A1A"/>
          <w:sz w:val="16"/>
          <w:szCs w:val="16"/>
          <w:bdr w:val="none" w:color="auto" w:sz="0" w:space="0"/>
          <w:shd w:val="clear" w:fill="F2F2F2"/>
        </w:rPr>
        <w:t>基本要求、调剂规则、工作程序、调剂复试办法详情参看《基础医学院2023年硕士研究生复试录取工作方案》</w:t>
      </w:r>
      <w:r>
        <w:rPr>
          <w:rStyle w:val="6"/>
          <w:rFonts w:hint="eastAsia" w:ascii="微软雅黑" w:hAnsi="微软雅黑" w:eastAsia="微软雅黑" w:cs="微软雅黑"/>
          <w:color w:val="1A1A1A"/>
          <w:sz w:val="16"/>
          <w:szCs w:val="16"/>
          <w:bdr w:val="none" w:color="auto" w:sz="0" w:space="0"/>
          <w:shd w:val="clear" w:fill="F2F2F2"/>
        </w:rPr>
        <w:t>（https://yxy.usc.edu.cn/info/2651/7361.htm）</w:t>
      </w:r>
      <w:r>
        <w:rPr>
          <w:rFonts w:hint="eastAsia" w:ascii="微软雅黑" w:hAnsi="微软雅黑" w:eastAsia="微软雅黑" w:cs="微软雅黑"/>
          <w:color w:val="1A1A1A"/>
          <w:sz w:val="14"/>
          <w:szCs w:val="14"/>
          <w:bdr w:val="none" w:color="auto" w:sz="0" w:space="0"/>
          <w:shd w:val="clear" w:fill="F2F2F2"/>
        </w:rPr>
        <w:t>，欢迎全国各地考生调剂到我院相关专业继续深造。</w:t>
      </w:r>
    </w:p>
    <w:tbl>
      <w:tblPr>
        <w:tblW w:w="9900" w:type="dxa"/>
        <w:tblInd w:w="0" w:type="dxa"/>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1945"/>
        <w:gridCol w:w="930"/>
        <w:gridCol w:w="2497"/>
        <w:gridCol w:w="3357"/>
        <w:gridCol w:w="1171"/>
      </w:tblGrid>
      <w:tr>
        <w:tblPrEx>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shd w:val="clear"/>
          <w:tblCellMar>
            <w:top w:w="15" w:type="dxa"/>
            <w:left w:w="15" w:type="dxa"/>
            <w:bottom w:w="15" w:type="dxa"/>
            <w:right w:w="15" w:type="dxa"/>
          </w:tblCellMar>
        </w:tblPrEx>
        <w:trPr>
          <w:trHeight w:val="200" w:hRule="atLeast"/>
        </w:trPr>
        <w:tc>
          <w:tcPr>
            <w:tcW w:w="11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00" w:lineRule="atLeast"/>
              <w:ind w:left="0" w:right="0" w:firstLine="0"/>
              <w:jc w:val="center"/>
              <w:rPr>
                <w:rFonts w:hint="eastAsia" w:ascii="微软雅黑" w:hAnsi="微软雅黑" w:eastAsia="微软雅黑" w:cs="微软雅黑"/>
                <w:color w:val="1A1A1A"/>
                <w:sz w:val="15"/>
                <w:szCs w:val="15"/>
              </w:rPr>
            </w:pPr>
            <w:r>
              <w:rPr>
                <w:rFonts w:hint="eastAsia" w:ascii="微软雅黑" w:hAnsi="微软雅黑" w:eastAsia="微软雅黑" w:cs="微软雅黑"/>
                <w:color w:val="1A1A1A"/>
                <w:sz w:val="14"/>
                <w:szCs w:val="14"/>
                <w:bdr w:val="none" w:color="auto" w:sz="0" w:space="0"/>
              </w:rPr>
              <w:t>一级学科</w:t>
            </w:r>
          </w:p>
        </w:tc>
        <w:tc>
          <w:tcPr>
            <w:tcW w:w="540" w:type="dxa"/>
            <w:tcBorders>
              <w:top w:val="single" w:color="000000" w:sz="4" w:space="0"/>
              <w:left w:val="nil"/>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00" w:lineRule="atLeast"/>
              <w:ind w:left="0" w:right="0" w:firstLine="0"/>
              <w:jc w:val="center"/>
              <w:rPr>
                <w:rFonts w:hint="eastAsia" w:ascii="微软雅黑" w:hAnsi="微软雅黑" w:eastAsia="微软雅黑" w:cs="微软雅黑"/>
                <w:color w:val="1A1A1A"/>
                <w:sz w:val="15"/>
                <w:szCs w:val="15"/>
              </w:rPr>
            </w:pPr>
            <w:r>
              <w:rPr>
                <w:rFonts w:hint="eastAsia" w:ascii="微软雅黑" w:hAnsi="微软雅黑" w:eastAsia="微软雅黑" w:cs="微软雅黑"/>
                <w:color w:val="1A1A1A"/>
                <w:sz w:val="14"/>
                <w:szCs w:val="14"/>
                <w:bdr w:val="none" w:color="auto" w:sz="0" w:space="0"/>
              </w:rPr>
              <w:t>研究方向</w:t>
            </w:r>
          </w:p>
        </w:tc>
        <w:tc>
          <w:tcPr>
            <w:tcW w:w="1450" w:type="dxa"/>
            <w:tcBorders>
              <w:top w:val="single" w:color="000000" w:sz="4" w:space="0"/>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00" w:lineRule="atLeast"/>
              <w:ind w:left="0" w:right="0" w:firstLine="0"/>
              <w:jc w:val="center"/>
              <w:rPr>
                <w:rFonts w:hint="eastAsia" w:ascii="微软雅黑" w:hAnsi="微软雅黑" w:eastAsia="微软雅黑" w:cs="微软雅黑"/>
                <w:color w:val="1A1A1A"/>
                <w:sz w:val="15"/>
                <w:szCs w:val="15"/>
              </w:rPr>
            </w:pPr>
            <w:r>
              <w:rPr>
                <w:rFonts w:hint="eastAsia" w:ascii="微软雅黑" w:hAnsi="微软雅黑" w:eastAsia="微软雅黑" w:cs="微软雅黑"/>
                <w:color w:val="1A1A1A"/>
                <w:sz w:val="14"/>
                <w:szCs w:val="14"/>
                <w:bdr w:val="none" w:color="auto" w:sz="0" w:space="0"/>
              </w:rPr>
              <w:t>院系所</w:t>
            </w:r>
          </w:p>
        </w:tc>
        <w:tc>
          <w:tcPr>
            <w:tcW w:w="1950" w:type="dxa"/>
            <w:tcBorders>
              <w:top w:val="single" w:color="000000" w:sz="4" w:space="0"/>
              <w:left w:val="nil"/>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00" w:lineRule="atLeast"/>
              <w:ind w:left="0" w:right="0" w:firstLine="0"/>
              <w:jc w:val="center"/>
              <w:rPr>
                <w:rFonts w:hint="eastAsia" w:ascii="微软雅黑" w:hAnsi="微软雅黑" w:eastAsia="微软雅黑" w:cs="微软雅黑"/>
                <w:color w:val="1A1A1A"/>
                <w:sz w:val="15"/>
                <w:szCs w:val="15"/>
              </w:rPr>
            </w:pPr>
            <w:r>
              <w:rPr>
                <w:rFonts w:hint="eastAsia" w:ascii="微软雅黑" w:hAnsi="微软雅黑" w:eastAsia="微软雅黑" w:cs="微软雅黑"/>
                <w:color w:val="1A1A1A"/>
                <w:sz w:val="14"/>
                <w:szCs w:val="14"/>
                <w:bdr w:val="none" w:color="auto" w:sz="0" w:space="0"/>
              </w:rPr>
              <w:t>调剂规则</w:t>
            </w:r>
          </w:p>
        </w:tc>
        <w:tc>
          <w:tcPr>
            <w:tcW w:w="680" w:type="dxa"/>
            <w:tcBorders>
              <w:top w:val="single" w:color="000000" w:sz="4" w:space="0"/>
              <w:left w:val="nil"/>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00" w:lineRule="atLeast"/>
              <w:ind w:left="0" w:right="0" w:firstLine="0"/>
              <w:jc w:val="center"/>
              <w:rPr>
                <w:rFonts w:hint="eastAsia" w:ascii="微软雅黑" w:hAnsi="微软雅黑" w:eastAsia="微软雅黑" w:cs="微软雅黑"/>
                <w:color w:val="1A1A1A"/>
                <w:sz w:val="15"/>
                <w:szCs w:val="15"/>
              </w:rPr>
            </w:pPr>
            <w:r>
              <w:rPr>
                <w:rFonts w:hint="eastAsia" w:ascii="微软雅黑" w:hAnsi="微软雅黑" w:eastAsia="微软雅黑" w:cs="微软雅黑"/>
                <w:color w:val="1A1A1A"/>
                <w:sz w:val="14"/>
                <w:szCs w:val="14"/>
                <w:bdr w:val="none" w:color="auto" w:sz="0" w:space="0"/>
              </w:rPr>
              <w:t>调剂名额</w:t>
            </w:r>
          </w:p>
        </w:tc>
      </w:tr>
      <w:tr>
        <w:tblPrEx>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shd w:val="clear"/>
          <w:tblCellMar>
            <w:top w:w="15" w:type="dxa"/>
            <w:left w:w="15" w:type="dxa"/>
            <w:bottom w:w="15" w:type="dxa"/>
            <w:right w:w="15" w:type="dxa"/>
          </w:tblCellMar>
        </w:tblPrEx>
        <w:trPr>
          <w:trHeight w:val="20" w:hRule="atLeast"/>
        </w:trPr>
        <w:tc>
          <w:tcPr>
            <w:tcW w:w="1130" w:type="dxa"/>
            <w:tcBorders>
              <w:top w:val="nil"/>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00" w:lineRule="atLeast"/>
              <w:ind w:left="0" w:right="0" w:firstLine="0"/>
              <w:rPr>
                <w:rFonts w:hint="eastAsia" w:ascii="微软雅黑" w:hAnsi="微软雅黑" w:eastAsia="微软雅黑" w:cs="微软雅黑"/>
                <w:color w:val="1A1A1A"/>
                <w:sz w:val="15"/>
                <w:szCs w:val="15"/>
              </w:rPr>
            </w:pPr>
            <w:r>
              <w:rPr>
                <w:rFonts w:hint="eastAsia" w:ascii="微软雅黑" w:hAnsi="微软雅黑" w:eastAsia="微软雅黑" w:cs="微软雅黑"/>
                <w:color w:val="1A1A1A"/>
                <w:sz w:val="14"/>
                <w:szCs w:val="14"/>
                <w:bdr w:val="none" w:color="auto" w:sz="0" w:space="0"/>
              </w:rPr>
              <w:t>071000 生物学</w:t>
            </w:r>
          </w:p>
        </w:tc>
        <w:tc>
          <w:tcPr>
            <w:tcW w:w="540" w:type="dxa"/>
            <w:tcBorders>
              <w:top w:val="nil"/>
              <w:left w:val="nil"/>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00" w:lineRule="atLeast"/>
              <w:ind w:left="0" w:right="0" w:firstLine="0"/>
              <w:rPr>
                <w:rFonts w:hint="eastAsia" w:ascii="微软雅黑" w:hAnsi="微软雅黑" w:eastAsia="微软雅黑" w:cs="微软雅黑"/>
                <w:color w:val="1A1A1A"/>
                <w:sz w:val="15"/>
                <w:szCs w:val="15"/>
              </w:rPr>
            </w:pPr>
            <w:r>
              <w:rPr>
                <w:rFonts w:hint="eastAsia" w:ascii="微软雅黑" w:hAnsi="微软雅黑" w:eastAsia="微软雅黑" w:cs="微软雅黑"/>
                <w:color w:val="1A1A1A"/>
                <w:sz w:val="14"/>
                <w:szCs w:val="14"/>
                <w:bdr w:val="none" w:color="auto" w:sz="0" w:space="0"/>
              </w:rPr>
              <w:t>04 生物化学与分子生物学</w:t>
            </w:r>
          </w:p>
        </w:tc>
        <w:tc>
          <w:tcPr>
            <w:tcW w:w="1450" w:type="dxa"/>
            <w:tcBorders>
              <w:top w:val="nil"/>
              <w:left w:val="nil"/>
              <w:bottom w:val="single" w:color="000000" w:sz="4" w:space="0"/>
              <w:right w:val="single" w:color="000000"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00" w:lineRule="atLeast"/>
              <w:ind w:left="0" w:right="0" w:firstLine="0"/>
              <w:rPr>
                <w:rFonts w:hint="eastAsia" w:ascii="微软雅黑" w:hAnsi="微软雅黑" w:eastAsia="微软雅黑" w:cs="微软雅黑"/>
                <w:color w:val="1A1A1A"/>
                <w:sz w:val="15"/>
                <w:szCs w:val="15"/>
              </w:rPr>
            </w:pPr>
            <w:r>
              <w:rPr>
                <w:rFonts w:hint="eastAsia" w:ascii="微软雅黑" w:hAnsi="微软雅黑" w:eastAsia="微软雅黑" w:cs="微软雅黑"/>
                <w:color w:val="1A1A1A"/>
                <w:sz w:val="14"/>
                <w:szCs w:val="14"/>
                <w:bdr w:val="none" w:color="auto" w:sz="0" w:space="0"/>
              </w:rPr>
              <w:t>126南华大学军事科学院军事医学研究院研究生协作培养基地</w:t>
            </w:r>
          </w:p>
        </w:tc>
        <w:tc>
          <w:tcPr>
            <w:tcW w:w="1950" w:type="dxa"/>
            <w:tcBorders>
              <w:top w:val="nil"/>
              <w:left w:val="nil"/>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00" w:lineRule="atLeast"/>
              <w:ind w:left="0" w:right="0" w:firstLine="0"/>
              <w:rPr>
                <w:rFonts w:hint="eastAsia" w:ascii="微软雅黑" w:hAnsi="微软雅黑" w:eastAsia="微软雅黑" w:cs="微软雅黑"/>
                <w:color w:val="1A1A1A"/>
                <w:sz w:val="15"/>
                <w:szCs w:val="15"/>
              </w:rPr>
            </w:pPr>
            <w:r>
              <w:rPr>
                <w:rFonts w:hint="eastAsia" w:ascii="微软雅黑" w:hAnsi="微软雅黑" w:eastAsia="微软雅黑" w:cs="微软雅黑"/>
                <w:color w:val="1A1A1A"/>
                <w:sz w:val="14"/>
                <w:szCs w:val="14"/>
                <w:bdr w:val="none" w:color="auto" w:sz="0" w:space="0"/>
              </w:rPr>
              <w:t>生物科学类，医学类（临床医学类、基础医学类、医学检验）、药学类等专业学生，考试科目的其中一门必需为分子生物学或者生物化学，全日制本科。初试总分排序。</w:t>
            </w:r>
          </w:p>
        </w:tc>
        <w:tc>
          <w:tcPr>
            <w:tcW w:w="680" w:type="dxa"/>
            <w:tcBorders>
              <w:top w:val="nil"/>
              <w:left w:val="nil"/>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00" w:lineRule="atLeast"/>
              <w:ind w:left="0" w:right="0" w:firstLine="0"/>
              <w:jc w:val="center"/>
              <w:rPr>
                <w:rFonts w:hint="eastAsia" w:ascii="微软雅黑" w:hAnsi="微软雅黑" w:eastAsia="微软雅黑" w:cs="微软雅黑"/>
                <w:color w:val="1A1A1A"/>
                <w:sz w:val="15"/>
                <w:szCs w:val="15"/>
              </w:rPr>
            </w:pPr>
            <w:r>
              <w:rPr>
                <w:rFonts w:hint="eastAsia" w:ascii="微软雅黑" w:hAnsi="微软雅黑" w:eastAsia="微软雅黑" w:cs="微软雅黑"/>
                <w:color w:val="1A1A1A"/>
                <w:sz w:val="14"/>
                <w:szCs w:val="14"/>
                <w:bdr w:val="none" w:color="auto" w:sz="0" w:space="0"/>
              </w:rPr>
              <w:t>8</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2F2F2"/>
        <w:spacing w:before="0" w:beforeAutospacing="0" w:after="0" w:afterAutospacing="0" w:line="210" w:lineRule="atLeast"/>
        <w:ind w:left="0" w:right="0" w:firstLine="420"/>
        <w:jc w:val="right"/>
        <w:rPr>
          <w:rFonts w:hint="eastAsia" w:ascii="微软雅黑" w:hAnsi="微软雅黑" w:eastAsia="微软雅黑" w:cs="微软雅黑"/>
          <w:color w:val="1A1A1A"/>
          <w:sz w:val="15"/>
          <w:szCs w:val="15"/>
        </w:rPr>
      </w:pPr>
      <w:r>
        <w:rPr>
          <w:rFonts w:hint="eastAsia" w:ascii="微软雅黑" w:hAnsi="微软雅黑" w:eastAsia="微软雅黑" w:cs="微软雅黑"/>
          <w:color w:val="1A1A1A"/>
          <w:sz w:val="14"/>
          <w:szCs w:val="14"/>
          <w:bdr w:val="none" w:color="auto" w:sz="0" w:space="0"/>
          <w:shd w:val="clear" w:fill="F2F2F2"/>
        </w:rPr>
        <w:t>南华大学研究生院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2F2F2"/>
        <w:spacing w:before="0" w:beforeAutospacing="0" w:after="0" w:afterAutospacing="0" w:line="210" w:lineRule="atLeast"/>
        <w:ind w:left="0" w:right="0" w:firstLine="420"/>
        <w:jc w:val="right"/>
        <w:rPr>
          <w:rFonts w:hint="eastAsia" w:ascii="微软雅黑" w:hAnsi="微软雅黑" w:eastAsia="微软雅黑" w:cs="微软雅黑"/>
          <w:color w:val="1A1A1A"/>
          <w:sz w:val="15"/>
          <w:szCs w:val="15"/>
        </w:rPr>
      </w:pPr>
      <w:r>
        <w:rPr>
          <w:rFonts w:hint="eastAsia" w:ascii="微软雅黑" w:hAnsi="微软雅黑" w:eastAsia="微软雅黑" w:cs="微软雅黑"/>
          <w:color w:val="1A1A1A"/>
          <w:sz w:val="14"/>
          <w:szCs w:val="14"/>
          <w:bdr w:val="none" w:color="auto" w:sz="0" w:space="0"/>
          <w:shd w:val="clear" w:fill="F2F2F2"/>
        </w:rPr>
        <w:t>2023.4.15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420"/>
        <w:rPr>
          <w:rFonts w:hint="eastAsia" w:ascii="微软雅黑" w:hAnsi="微软雅黑" w:eastAsia="微软雅黑" w:cs="微软雅黑"/>
          <w:color w:val="1A1A1A"/>
          <w:sz w:val="15"/>
          <w:szCs w:val="15"/>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DA76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2023-05-18T08:47:28Z</dcterms:created>
  <dc:creator>Administrator</dc:creator>
  <cp:lastModifiedBy>王英</cp:lastModifiedBy>
  <dcterms:modified xsi:type="dcterms:W3CDTF">2023-05-18T08:47:40Z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8B17E96830D74F72821E5F65FE3C5708</vt:lpwstr>
  </property>
</Properties>
</file>