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00" w:afterAutospacing="0" w:line="480" w:lineRule="atLeast"/>
        <w:ind w:left="500" w:right="0"/>
        <w:jc w:val="center"/>
        <w:rPr>
          <w:rFonts w:ascii="微软雅黑" w:hAnsi="微软雅黑" w:eastAsia="微软雅黑" w:cs="微软雅黑"/>
          <w:color w:val="333333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color w:val="333333"/>
          <w:sz w:val="28"/>
          <w:szCs w:val="28"/>
          <w:bdr w:val="none" w:color="auto" w:sz="0" w:space="0"/>
        </w:rPr>
        <w:t>衡阳医学院基础医学院关于4月11日开放生物学硕士研究生招生调剂的通知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2023年04月11日 08:37  点击：[</w:t>
      </w:r>
      <w:r>
        <w:rPr>
          <w:rFonts w:hint="eastAsia" w:ascii="微软雅黑" w:hAnsi="微软雅黑" w:eastAsia="微软雅黑" w:cs="微软雅黑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3032</w:t>
      </w: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525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根据《教育部关于印发202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年全国硕士研究生招生工作管理规定的通知》、《南华大学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年硕士研究生复试与录取工作方案》等要求，按照我院研究生招生工作的复试方案,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生物学[研究方向：01 遗传学、02 神经生物学、03 细胞生物学、06 细胞命运及细胞死亡 (铁死亡)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]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分子机制]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拟于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年4月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0至4月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2F2F2"/>
        </w:rPr>
        <w:t>22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2F2F2"/>
        </w:rPr>
        <w:t>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之间开放硕士研究生招生调剂系统。基本要求、调剂规则、工作程序、调剂复试办法详情参看《基础医学院2023年硕士研究生复试录取工作方案》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（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2F2F2"/>
        </w:rPr>
        <w:t>https://yxy.usc.edu.cn/info/2651/7361.htm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，欢迎全国各地考生调剂到我院相关专业继续深造。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</w:t>
      </w:r>
    </w:p>
    <w:tbl>
      <w:tblPr>
        <w:tblW w:w="860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4"/>
        <w:gridCol w:w="1984"/>
        <w:gridCol w:w="1559"/>
        <w:gridCol w:w="1746"/>
        <w:gridCol w:w="21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一级学科</w:t>
            </w:r>
          </w:p>
        </w:tc>
        <w:tc>
          <w:tcPr>
            <w:tcW w:w="19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招生研究所</w:t>
            </w:r>
          </w:p>
        </w:tc>
        <w:tc>
          <w:tcPr>
            <w:tcW w:w="1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调剂规则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 生物学</w:t>
            </w:r>
          </w:p>
        </w:tc>
        <w:tc>
          <w:tcPr>
            <w:tcW w:w="19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 遗传学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 神经生物学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 细胞生物学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06 细胞命运及细胞死亡 (铁死亡) 分子机制</w:t>
            </w:r>
          </w:p>
        </w:tc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细胞与遗传研究所</w:t>
            </w:r>
          </w:p>
        </w:tc>
        <w:tc>
          <w:tcPr>
            <w:tcW w:w="17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第一志愿报考专业为0702物理学、0703化学、0710生物学、0713 生态学（含其下属的二级学科或方向，即第一志愿报考专业的前四位代码为0702、0703、0710、0713之一），全日制本科。</w:t>
            </w:r>
          </w:p>
        </w:tc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  <w:jc w:val="center"/>
        </w:trPr>
        <w:tc>
          <w:tcPr>
            <w:tcW w:w="114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40" w:lineRule="atLeast"/>
        <w:ind w:left="0" w:right="0" w:firstLine="72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52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注：注：每次开放“调剂服务系统”持续时间不低于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个小时，超过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2F2F2"/>
        </w:rPr>
        <w:t>小时后可根据调剂考生的数量与缺额情况随时关闭调剂系统。 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2F2"/>
        </w:rPr>
        <w:t>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95C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2023-05-19T07:42:27Z</dcterms:created>
  <dc:creator>Administrator</dc:creator>
  <cp:lastModifiedBy>王英</cp:lastModifiedBy>
  <dcterms:modified xsi:type="dcterms:W3CDTF">2023-05-19T07:42:33Z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276A83D28EC243CCA2F327EEF54A4589</vt:lpwstr>
  </property>
</Properties>
</file>