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jc w:val="center"/>
        <w:rPr>
          <w:rFonts w:ascii="微软雅黑" w:hAnsi="微软雅黑" w:eastAsia="微软雅黑" w:cs="微软雅黑"/>
          <w:i w:val="0"/>
          <w:iCs w:val="0"/>
          <w:caps w:val="0"/>
          <w:color w:val="000000"/>
          <w:spacing w:val="0"/>
          <w:sz w:val="18"/>
          <w:szCs w:val="18"/>
        </w:rPr>
      </w:pPr>
      <w:bookmarkStart w:id="0" w:name="_GoBack"/>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2023年南华大学核科学技术学院硕士研究生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jc w:val="center"/>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第二轮调剂公告</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一、接收考生调剂专业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2023年南华大学核科学技术学院拟接收考生调剂专业：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（1）核科学与技术（082700）；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（2）能源动力（085800）。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二、接收考生调剂的时间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4月11日20:00~4月12日16:00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三、调剂规则与基本要求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1）符合调入专业的报考条件，调入专业与第一志愿报考专业相同或相近，应在同一学科门类内；考生初试考试科目应与调入专业初试科目相同或相近【其中统一命题科目与调入专业全国统一命题科目相同：英语（一）、英语（二）视为相同；数学（一）、数学（二）视为相同】且初试成绩符合报考第一志愿专业国家复试分数基本要求，经审核同意可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核科学与技术、能源动力（核能科学与工程、核技术及应用、辐射防护与环境保护、核燃料循环与材料方向）：本科专业核工程与核技术（082201）、辐射防护与核安全（082202）、核化工与核燃料工程（082204）、核物理（070203，要求第一志愿报考工学的）、工程物理（082203）专业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（3）优先专业按照总分从高分到低分通知复试，跨专业调剂按照统考科目成绩从高分到低分通知复试。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（四）研招网调剂系统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每次开放“调剂服务系统”持续时间不低于12个小时，超过12小时后学院将根据调剂考生的数量与缺额情况随时关闭调剂系统。报考我院的调剂考生调剂志愿锁定时间为24小时，锁定时间到达后，如学院未明确受理意见，锁定解除，可继续填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（1）调剂系统开通后，学院将根据录取情况及时公布缺额专业的调剂名额与调剂的要求。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（2）符合我院调剂条件及教育部公布的A类复试分数线要求的考生，可在我院公布调剂计划缺额时间内登录“调剂系统”提交调剂志愿。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（3）我院根据拟同意参加复试的考生名单及考生本人的填报志愿在网上通知考生复试，考生需及时查看并确认“复试通知”。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4）复试完成后,研究生院将根据我院上报的复试及录取结果上报学校招生工作领导小组审定；审核通过后，在调剂系统里给学生发送拟录取通知。请所有调剂考生保持通讯渠道畅通，被“拟录取”的考生在24小时内须在网上接受拟录取通知，否则视为自动放弃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（5）省级教育招生考试机构进行终审，如不符合政策，将取消录取。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五、调剂名额</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46"/>
        <w:gridCol w:w="950"/>
        <w:gridCol w:w="3020"/>
        <w:gridCol w:w="88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c>
          <w:tcPr>
            <w:tcW w:w="83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专业代码</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专业名称</w:t>
            </w:r>
          </w:p>
        </w:tc>
        <w:tc>
          <w:tcPr>
            <w:tcW w:w="88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缺额名额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c>
          <w:tcPr>
            <w:tcW w:w="83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082700</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核科学与技术（学术型）</w:t>
            </w:r>
          </w:p>
        </w:tc>
        <w:tc>
          <w:tcPr>
            <w:tcW w:w="88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c>
          <w:tcPr>
            <w:tcW w:w="83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085800</w:t>
            </w:r>
          </w:p>
        </w:tc>
        <w:tc>
          <w:tcPr>
            <w:tcW w:w="95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能源动力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（专业型）</w:t>
            </w:r>
          </w:p>
        </w:tc>
        <w:tc>
          <w:tcPr>
            <w:tcW w:w="200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核能科学与工程、核技术及应用、辐射防护与环境保护、核燃料循环与材料方向</w:t>
            </w:r>
          </w:p>
        </w:tc>
        <w:tc>
          <w:tcPr>
            <w:tcW w:w="88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0" w:hRule="atLeast"/>
        </w:trPr>
        <w:tc>
          <w:tcPr>
            <w:tcW w:w="83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18"/>
                <w:szCs w:val="18"/>
              </w:rPr>
            </w:pPr>
          </w:p>
        </w:tc>
        <w:tc>
          <w:tcPr>
            <w:tcW w:w="302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18"/>
                <w:szCs w:val="18"/>
              </w:rPr>
            </w:pPr>
          </w:p>
        </w:tc>
        <w:tc>
          <w:tcPr>
            <w:tcW w:w="88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i w:val="0"/>
                <w:iCs w:val="0"/>
                <w:caps w:val="0"/>
                <w:color w:val="000000"/>
                <w:spacing w:val="0"/>
                <w:sz w:val="18"/>
                <w:szCs w:val="18"/>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六、工作程序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调剂网填写调剂申请—确定调剂名单—发送复试通知—网上确认参加复试—参加复试—发布待录取名单—网上确认录取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七、调剂复试办法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（1）全部线下复试；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（2）详情参见《南华大学核科学技术学院2023年硕士研究生复试录取工作方案》，链接：</w: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instrText xml:space="preserve"> HYPERLINK "https://hjxy.usc.edu.cn/info/1720/7891.htm" </w:instrTex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separate"/>
      </w:r>
      <w:r>
        <w:rPr>
          <w:rStyle w:val="6"/>
          <w:rFonts w:hint="eastAsia" w:ascii="微软雅黑" w:hAnsi="微软雅黑" w:eastAsia="微软雅黑" w:cs="微软雅黑"/>
          <w:i w:val="0"/>
          <w:iCs w:val="0"/>
          <w:caps w:val="0"/>
          <w:color w:val="1E50A2"/>
          <w:spacing w:val="0"/>
          <w:sz w:val="18"/>
          <w:szCs w:val="18"/>
          <w:u w:val="single"/>
          <w:bdr w:val="none" w:color="auto" w:sz="0" w:space="0"/>
          <w:shd w:val="clear" w:fill="FFFFFF"/>
        </w:rPr>
        <w:t>https://hjxy.usc.edu.cn/info/1720/7891.htm</w: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（3）获得调剂复试资格的同学须加入“USC核院2023研招调剂”QQ群：480367364。群昵称：“姓名—联系手机”，请考生务必保持手机畅通及QQ在线，以方便通知联系。具体安排参照另行通知。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single" w:color="CCCCCC" w:sz="4" w:space="0"/>
          <w:shd w:val="clear" w:fill="FFFFFF"/>
        </w:rPr>
        <w:drawing>
          <wp:inline distT="0" distB="0" distL="114300" distR="114300">
            <wp:extent cx="3371850" cy="3514725"/>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371850" cy="35147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八、联系电话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联系老师：13327342466 肖老师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15580926058向老师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AAE6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2023-05-19T06:56:40Z</dcterms:created>
  <dc:creator>Administrator</dc:creator>
  <cp:lastModifiedBy>王英</cp:lastModifiedBy>
  <dcterms:modified xsi:type="dcterms:W3CDTF">2023-05-19T07:15:58Z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9C59DB5EC504412197F4A3E7BFCCD082</vt:lpwstr>
  </property>
</Properties>
</file>