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60" w:beforeAutospacing="0" w:after="260" w:afterAutospacing="0" w:line="480" w:lineRule="atLeast"/>
        <w:ind w:left="0" w:right="0" w:firstLine="0"/>
        <w:jc w:val="center"/>
        <w:rPr>
          <w:rFonts w:ascii="微软雅黑" w:hAnsi="微软雅黑" w:eastAsia="微软雅黑" w:cs="微软雅黑"/>
          <w:i w:val="0"/>
          <w:iCs w:val="0"/>
          <w:caps w:val="0"/>
          <w:color w:val="4C4C4C"/>
          <w:spacing w:val="0"/>
          <w:sz w:val="30"/>
          <w:szCs w:val="30"/>
        </w:rPr>
      </w:pPr>
      <w:bookmarkStart w:id="6" w:name="_GoBack"/>
      <w:r>
        <w:rPr>
          <w:rFonts w:hint="eastAsia" w:ascii="微软雅黑" w:hAnsi="微软雅黑" w:eastAsia="微软雅黑" w:cs="微软雅黑"/>
          <w:i w:val="0"/>
          <w:iCs w:val="0"/>
          <w:caps w:val="0"/>
          <w:color w:val="4C4C4C"/>
          <w:spacing w:val="0"/>
          <w:sz w:val="30"/>
          <w:szCs w:val="30"/>
          <w:bdr w:val="none" w:color="auto" w:sz="0" w:space="0"/>
          <w:shd w:val="clear" w:fill="FFFFFF"/>
        </w:rPr>
        <w:t>南华大学资源环境与安全工程学院2023年硕士研究生调剂工作方案</w:t>
      </w:r>
    </w:p>
    <w:bookmarkEnd w:id="6"/>
    <w:p>
      <w:pPr>
        <w:keepNext w:val="0"/>
        <w:keepLines w:val="0"/>
        <w:widowControl/>
        <w:suppressLineNumbers w:val="0"/>
        <w:pBdr>
          <w:top w:val="single" w:color="F1F1F1" w:sz="4" w:space="0"/>
          <w:left w:val="none" w:color="auto" w:sz="0" w:space="0"/>
          <w:bottom w:val="single" w:color="F1F1F1" w:sz="4" w:space="0"/>
          <w:right w:val="none" w:color="auto" w:sz="0" w:space="0"/>
        </w:pBdr>
        <w:shd w:val="clear" w:fill="FFFFFF"/>
        <w:spacing w:before="0" w:beforeAutospacing="0" w:after="200" w:afterAutospacing="0" w:line="380" w:lineRule="atLeast"/>
        <w:ind w:left="0" w:right="0" w:firstLine="0"/>
        <w:jc w:val="center"/>
        <w:rPr>
          <w:rFonts w:hint="eastAsia" w:ascii="微软雅黑" w:hAnsi="微软雅黑" w:eastAsia="微软雅黑" w:cs="微软雅黑"/>
          <w:i w:val="0"/>
          <w:iCs w:val="0"/>
          <w:caps w:val="0"/>
          <w:color w:val="949494"/>
          <w:spacing w:val="0"/>
          <w:sz w:val="14"/>
          <w:szCs w:val="14"/>
        </w:rPr>
      </w:pPr>
      <w:r>
        <w:rPr>
          <w:rFonts w:hint="eastAsia" w:ascii="微软雅黑" w:hAnsi="微软雅黑" w:eastAsia="微软雅黑" w:cs="微软雅黑"/>
          <w:i w:val="0"/>
          <w:iCs w:val="0"/>
          <w:caps w:val="0"/>
          <w:color w:val="949494"/>
          <w:spacing w:val="0"/>
          <w:kern w:val="0"/>
          <w:sz w:val="14"/>
          <w:szCs w:val="14"/>
          <w:bdr w:val="none" w:color="auto" w:sz="0" w:space="0"/>
          <w:shd w:val="clear" w:fill="FFFFFF"/>
          <w:lang w:val="en-US" w:eastAsia="zh-CN" w:bidi="ar"/>
        </w:rPr>
        <w:t>2023年04月05日 11:22  点击：[8092]</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center"/>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32"/>
          <w:szCs w:val="32"/>
          <w:bdr w:val="none" w:color="auto" w:sz="0" w:space="0"/>
          <w:shd w:val="clear" w:fill="FFFFFF"/>
          <w:lang w:val="en-US" w:eastAsia="zh-CN" w:bidi="ar"/>
        </w:rPr>
        <w:t>南华大学资源环境与安全工程学院</w:t>
      </w:r>
      <w:r>
        <w:rPr>
          <w:rStyle w:val="6"/>
          <w:rFonts w:hint="eastAsia" w:ascii="微软雅黑" w:hAnsi="微软雅黑" w:eastAsia="微软雅黑" w:cs="微软雅黑"/>
          <w:i w:val="0"/>
          <w:iCs w:val="0"/>
          <w:caps w:val="0"/>
          <w:color w:val="1A1A1A"/>
          <w:spacing w:val="0"/>
          <w:kern w:val="0"/>
          <w:sz w:val="32"/>
          <w:szCs w:val="32"/>
          <w:bdr w:val="none" w:color="auto" w:sz="0" w:space="0"/>
          <w:shd w:val="clear" w:fill="FFFFFF"/>
          <w:lang w:val="en-US" w:eastAsia="zh-CN" w:bidi="ar"/>
        </w:rPr>
        <w:t>2023</w:t>
      </w:r>
      <w:r>
        <w:rPr>
          <w:rStyle w:val="6"/>
          <w:rFonts w:hint="eastAsia" w:ascii="宋体" w:hAnsi="宋体" w:eastAsia="宋体" w:cs="宋体"/>
          <w:i w:val="0"/>
          <w:iCs w:val="0"/>
          <w:caps w:val="0"/>
          <w:color w:val="1A1A1A"/>
          <w:spacing w:val="0"/>
          <w:kern w:val="0"/>
          <w:sz w:val="32"/>
          <w:szCs w:val="32"/>
          <w:bdr w:val="none" w:color="auto" w:sz="0" w:space="0"/>
          <w:shd w:val="clear" w:fill="FFFFFF"/>
          <w:lang w:val="en-US" w:eastAsia="zh-CN" w:bidi="ar"/>
        </w:rPr>
        <w:t>年硕士研究生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center"/>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32"/>
          <w:szCs w:val="32"/>
          <w:bdr w:val="none" w:color="auto" w:sz="0" w:space="0"/>
          <w:shd w:val="clear" w:fill="FFFFFF"/>
          <w:lang w:val="en-US" w:eastAsia="zh-CN" w:bidi="ar"/>
        </w:rPr>
        <w:t>调剂工作方案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根据《教育部关于印发2023年全国硕士研究生招生工作管理规定的通知》（教学函[2022]3号）、教育部高校学生司《关于做好</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年全国硕士研究生招生录取工作的通知》（教学司〔</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号）等有关文件及上级主管部门</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年全国硕士研究生招生录取工作会议精神，为了确保我院</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年硕士研究生调剂工作平稳有序，结合学院实际情况，经学院招生工作领导小组会议研究决定，特制定本方案。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bookmarkStart w:id="0" w:name="OLE_LINK1"/>
      <w:bookmarkEnd w:id="0"/>
      <w:bookmarkStart w:id="1" w:name="OLE_LINK2"/>
      <w:bookmarkEnd w:id="1"/>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一、调剂基本规则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1.符合调入专业的报考条件，调入专业与第一志愿报考专业相同或相近，应在同一学科门类内；考生初试考试科目应与调入专业初试科目相同或相近【其中统一命题科目与调入专业全国统一命题科目相同：英语（一）、英语（二）视为相同；数学（一）、数学（二）、数学（三）、数学（农）和经济类综合能力视为相同】且初试成绩符合报考第一志愿专业国家复试分数基本要求，经审核同意可进行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2.对申请我校同一专业，考生的第一志愿自命题考试科目不同于我校招生简章中发布的考试科目，各学位点根据本学科（专业类别）硕士研究生培养目标、科目考试大纲、学科特点等因素综合研判，自主确定各科目命题的相同或相似性，各学位点可制定与学生学业水平相关的调剂生选拔规则择优遴选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3.对可授予两个以上不同学科门类学位的专业，除可在本学科门类范围内调剂外，本专业所属一级学科与对应专业所属一级学科可进行相互调剂。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4.第一志愿报考照顾专业的考生若调剂出本类照顾专业，其初试成绩必须达到调入地区该照顾专业所在学科、专业类别（领域）的全国初试成绩要求。第一志愿报考非照顾专业的考生若调入照顾专业，其初试成绩必须符合调入地区对应的非照顾专业学科、专业类别（领域）的全国初试成绩基本要求。工学照顾专业之间互调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lang w:val="en-US"/>
        </w:rPr>
        <w:t>5.</w:t>
      </w:r>
      <w:r>
        <w:rPr>
          <w:rFonts w:hint="eastAsia" w:ascii="宋体" w:hAnsi="宋体" w:eastAsia="宋体" w:cs="宋体"/>
          <w:i w:val="0"/>
          <w:iCs w:val="0"/>
          <w:caps w:val="0"/>
          <w:color w:val="1A1A1A"/>
          <w:spacing w:val="0"/>
          <w:sz w:val="24"/>
          <w:szCs w:val="24"/>
          <w:bdr w:val="none" w:color="auto" w:sz="0" w:space="0"/>
          <w:shd w:val="clear" w:fill="FFFFFF"/>
        </w:rPr>
        <w:t>其他补充原则：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rPr>
        <w:t>具体调剂筛选原则以每次发布的调剂信息为准。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lang w:val="en-US"/>
        </w:rPr>
        <w:t>081900</w:t>
      </w:r>
      <w:r>
        <w:rPr>
          <w:rFonts w:hint="eastAsia" w:ascii="宋体" w:hAnsi="宋体" w:eastAsia="宋体" w:cs="宋体"/>
          <w:i w:val="0"/>
          <w:iCs w:val="0"/>
          <w:caps w:val="0"/>
          <w:color w:val="1A1A1A"/>
          <w:spacing w:val="0"/>
          <w:sz w:val="24"/>
          <w:szCs w:val="24"/>
          <w:bdr w:val="none" w:color="auto" w:sz="0" w:space="0"/>
          <w:shd w:val="clear" w:fill="FFFFFF"/>
        </w:rPr>
        <w:t>矿业工程、</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资源与环境（矿业工程）：调剂专业优先顺序为矿业类、环境类、安全类、土木类、化工类、力学类、计算机类、电子信息类等；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lang w:val="en-US"/>
        </w:rPr>
        <w:t>083700</w:t>
      </w:r>
      <w:r>
        <w:rPr>
          <w:rFonts w:hint="eastAsia" w:ascii="宋体" w:hAnsi="宋体" w:eastAsia="宋体" w:cs="宋体"/>
          <w:i w:val="0"/>
          <w:iCs w:val="0"/>
          <w:caps w:val="0"/>
          <w:color w:val="1A1A1A"/>
          <w:spacing w:val="0"/>
          <w:sz w:val="24"/>
          <w:szCs w:val="24"/>
          <w:bdr w:val="none" w:color="auto" w:sz="0" w:space="0"/>
          <w:shd w:val="clear" w:fill="FFFFFF"/>
        </w:rPr>
        <w:t>安全科学与工程、</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资源与环境（安全工程）：采取差额形式复试，差额比例不低于</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120%</w:t>
      </w:r>
      <w:r>
        <w:rPr>
          <w:rFonts w:hint="eastAsia" w:ascii="宋体" w:hAnsi="宋体" w:eastAsia="宋体" w:cs="宋体"/>
          <w:i w:val="0"/>
          <w:iCs w:val="0"/>
          <w:caps w:val="0"/>
          <w:color w:val="1A1A1A"/>
          <w:spacing w:val="0"/>
          <w:sz w:val="24"/>
          <w:szCs w:val="24"/>
          <w:bdr w:val="none" w:color="auto" w:sz="0" w:space="0"/>
          <w:shd w:val="clear" w:fill="FFFFFF"/>
        </w:rPr>
        <w:t>。若报名上线人数超过计划招生人数，将按照初试中英语、数学、政治全国统一命题三门科目的总成绩排序，择优选取复试考生（安全工程、辐射防护、核安全、电子信息、软件工程等相关专业优先）；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lang w:val="en-US"/>
        </w:rPr>
        <w:t>081800</w:t>
      </w:r>
      <w:r>
        <w:rPr>
          <w:rFonts w:hint="eastAsia" w:ascii="宋体" w:hAnsi="宋体" w:eastAsia="宋体" w:cs="宋体"/>
          <w:i w:val="0"/>
          <w:iCs w:val="0"/>
          <w:caps w:val="0"/>
          <w:color w:val="1A1A1A"/>
          <w:spacing w:val="0"/>
          <w:sz w:val="24"/>
          <w:szCs w:val="24"/>
          <w:bdr w:val="none" w:color="auto" w:sz="0" w:space="0"/>
          <w:shd w:val="clear" w:fill="FFFFFF"/>
        </w:rPr>
        <w:t>地质资源与地质工程、</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资源与环境（地质工程）：资源勘查、地质工程、地信类、遥感类等相关专业优先，并综合考量初试成绩，择优进入复试程序；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lang w:val="en-US"/>
        </w:rPr>
        <w:t>083000</w:t>
      </w:r>
      <w:r>
        <w:rPr>
          <w:rFonts w:hint="eastAsia" w:ascii="宋体" w:hAnsi="宋体" w:eastAsia="宋体" w:cs="宋体"/>
          <w:i w:val="0"/>
          <w:iCs w:val="0"/>
          <w:caps w:val="0"/>
          <w:color w:val="1A1A1A"/>
          <w:spacing w:val="0"/>
          <w:sz w:val="24"/>
          <w:szCs w:val="24"/>
          <w:bdr w:val="none" w:color="auto" w:sz="0" w:space="0"/>
          <w:shd w:val="clear" w:fill="FFFFFF"/>
        </w:rPr>
        <w:t>环境科学与工程、</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资源与环境（环境工程）：采取差额形式复试，差额比例不低于</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120%</w:t>
      </w:r>
      <w:r>
        <w:rPr>
          <w:rFonts w:hint="eastAsia" w:ascii="宋体" w:hAnsi="宋体" w:eastAsia="宋体" w:cs="宋体"/>
          <w:i w:val="0"/>
          <w:iCs w:val="0"/>
          <w:caps w:val="0"/>
          <w:color w:val="1A1A1A"/>
          <w:spacing w:val="0"/>
          <w:sz w:val="24"/>
          <w:szCs w:val="24"/>
          <w:bdr w:val="none" w:color="auto" w:sz="0" w:space="0"/>
          <w:shd w:val="clear" w:fill="FFFFFF"/>
        </w:rPr>
        <w:t>，初试成绩符合报考第一志愿专业国家复试分数基本要求，经审核同意可进行调剂，根据复试总成绩择优录取（环境类、化工类、土木类、生物类等相关专业优先）。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二、调剂专业及名额</w:t>
      </w:r>
    </w:p>
    <w:tbl>
      <w:tblPr>
        <w:tblW w:w="9900" w:type="dxa"/>
        <w:jc w:val="center"/>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Layout w:type="autofit"/>
        <w:tblCellMar>
          <w:top w:w="0" w:type="dxa"/>
          <w:left w:w="0" w:type="dxa"/>
          <w:bottom w:w="0" w:type="dxa"/>
          <w:right w:w="0" w:type="dxa"/>
        </w:tblCellMar>
      </w:tblPr>
      <w:tblGrid>
        <w:gridCol w:w="5650"/>
        <w:gridCol w:w="2315"/>
        <w:gridCol w:w="1935"/>
      </w:tblGrid>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425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Style w:val="6"/>
                <w:rFonts w:hint="eastAsia" w:ascii="宋体" w:hAnsi="宋体" w:eastAsia="宋体" w:cs="宋体"/>
                <w:color w:val="1A1A1A"/>
                <w:sz w:val="24"/>
                <w:szCs w:val="24"/>
                <w:bdr w:val="none" w:color="auto" w:sz="0" w:space="0"/>
              </w:rPr>
              <w:t>专业名称及代码</w:t>
            </w:r>
          </w:p>
        </w:tc>
        <w:tc>
          <w:tcPr>
            <w:tcW w:w="174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Style w:val="6"/>
                <w:rFonts w:hint="eastAsia" w:ascii="宋体" w:hAnsi="宋体" w:eastAsia="宋体" w:cs="宋体"/>
                <w:color w:val="1A1A1A"/>
                <w:sz w:val="24"/>
                <w:szCs w:val="24"/>
                <w:bdr w:val="none" w:color="auto" w:sz="0" w:space="0"/>
              </w:rPr>
              <w:t>研究方向</w:t>
            </w:r>
          </w:p>
        </w:tc>
        <w:tc>
          <w:tcPr>
            <w:tcW w:w="145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Style w:val="6"/>
                <w:rFonts w:hint="eastAsia" w:ascii="宋体" w:hAnsi="宋体" w:eastAsia="宋体" w:cs="宋体"/>
                <w:color w:val="1A1A1A"/>
                <w:sz w:val="24"/>
                <w:szCs w:val="24"/>
                <w:bdr w:val="none" w:color="auto" w:sz="0" w:space="0"/>
              </w:rPr>
              <w:t>调剂名额</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425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081900</w:t>
            </w:r>
            <w:r>
              <w:rPr>
                <w:rFonts w:hint="eastAsia" w:ascii="宋体" w:hAnsi="宋体" w:eastAsia="宋体" w:cs="宋体"/>
                <w:color w:val="1A1A1A"/>
                <w:sz w:val="24"/>
                <w:szCs w:val="24"/>
                <w:bdr w:val="none" w:color="auto" w:sz="0" w:space="0"/>
              </w:rPr>
              <w:t>矿业工程</w:t>
            </w: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 </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14</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425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083700</w:t>
            </w:r>
            <w:r>
              <w:rPr>
                <w:rFonts w:hint="eastAsia" w:ascii="宋体" w:hAnsi="宋体" w:eastAsia="宋体" w:cs="宋体"/>
                <w:color w:val="1A1A1A"/>
                <w:sz w:val="24"/>
                <w:szCs w:val="24"/>
                <w:bdr w:val="none" w:color="auto" w:sz="0" w:space="0"/>
              </w:rPr>
              <w:t>安全科学与工程</w:t>
            </w: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 </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7</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425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081800</w:t>
            </w:r>
            <w:r>
              <w:rPr>
                <w:rFonts w:hint="eastAsia" w:ascii="宋体" w:hAnsi="宋体" w:eastAsia="宋体" w:cs="宋体"/>
                <w:color w:val="1A1A1A"/>
                <w:sz w:val="24"/>
                <w:szCs w:val="24"/>
                <w:bdr w:val="none" w:color="auto" w:sz="0" w:space="0"/>
              </w:rPr>
              <w:t>地质资源与地质工程</w:t>
            </w: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 </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6</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425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083000</w:t>
            </w:r>
            <w:r>
              <w:rPr>
                <w:rFonts w:hint="eastAsia" w:ascii="宋体" w:hAnsi="宋体" w:eastAsia="宋体" w:cs="宋体"/>
                <w:color w:val="1A1A1A"/>
                <w:sz w:val="24"/>
                <w:szCs w:val="24"/>
                <w:bdr w:val="none" w:color="auto" w:sz="0" w:space="0"/>
              </w:rPr>
              <w:t>环境科学与工程</w:t>
            </w: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 </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8</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4252"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085700</w:t>
            </w:r>
            <w:r>
              <w:rPr>
                <w:rFonts w:hint="eastAsia" w:ascii="宋体" w:hAnsi="宋体" w:eastAsia="宋体" w:cs="宋体"/>
                <w:color w:val="1A1A1A"/>
                <w:sz w:val="24"/>
                <w:szCs w:val="24"/>
                <w:bdr w:val="none" w:color="auto" w:sz="0" w:space="0"/>
              </w:rPr>
              <w:t>资源与环境</w:t>
            </w: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24"/>
                <w:szCs w:val="24"/>
                <w:bdr w:val="none" w:color="auto" w:sz="0" w:space="0"/>
              </w:rPr>
              <w:t>矿业工程</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41</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425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24"/>
                <w:szCs w:val="24"/>
                <w:bdr w:val="none" w:color="auto" w:sz="0" w:space="0"/>
              </w:rPr>
              <w:t>安全工程</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34</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425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24"/>
                <w:szCs w:val="24"/>
                <w:bdr w:val="none" w:color="auto" w:sz="0" w:space="0"/>
              </w:rPr>
              <w:t>地质工程</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5</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4252"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7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24"/>
                <w:szCs w:val="24"/>
                <w:bdr w:val="none" w:color="auto" w:sz="0" w:space="0"/>
              </w:rPr>
              <w:t>环境工程</w:t>
            </w:r>
          </w:p>
        </w:tc>
        <w:tc>
          <w:tcPr>
            <w:tcW w:w="145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right"/>
              <w:rPr>
                <w:rFonts w:hint="default" w:ascii="Times New Roman" w:hAnsi="Times New Roman" w:cs="Times New Roman"/>
                <w:color w:val="1A1A1A"/>
                <w:sz w:val="15"/>
                <w:szCs w:val="15"/>
              </w:rPr>
            </w:pPr>
            <w:r>
              <w:rPr>
                <w:rFonts w:hint="eastAsia" w:ascii="微软雅黑" w:hAnsi="微软雅黑" w:eastAsia="微软雅黑" w:cs="微软雅黑"/>
                <w:color w:val="1A1A1A"/>
                <w:sz w:val="24"/>
                <w:szCs w:val="24"/>
                <w:bdr w:val="none" w:color="auto" w:sz="0" w:space="0"/>
                <w:lang w:val="en-US"/>
              </w:rPr>
              <w:t>28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sz w:val="24"/>
          <w:szCs w:val="24"/>
          <w:bdr w:val="none" w:color="auto" w:sz="0" w:space="0"/>
          <w:shd w:val="clear" w:fill="FFFFFF"/>
        </w:rPr>
        <w:t>退役大学生士兵计划考生调剂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rPr>
        <w:t>我院</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资源与环境专业接收“退役大学生士兵专项计划”调剂，调剂名额</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1</w:t>
      </w:r>
      <w:r>
        <w:rPr>
          <w:rFonts w:hint="eastAsia" w:ascii="宋体" w:hAnsi="宋体" w:eastAsia="宋体" w:cs="宋体"/>
          <w:i w:val="0"/>
          <w:iCs w:val="0"/>
          <w:caps w:val="0"/>
          <w:color w:val="1A1A1A"/>
          <w:spacing w:val="0"/>
          <w:sz w:val="24"/>
          <w:szCs w:val="24"/>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rPr>
        <w:t>退役大学生士兵计划（含调剂）分数线：总分比国家</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A</w:t>
      </w:r>
      <w:r>
        <w:rPr>
          <w:rFonts w:hint="eastAsia" w:ascii="宋体" w:hAnsi="宋体" w:eastAsia="宋体" w:cs="宋体"/>
          <w:i w:val="0"/>
          <w:iCs w:val="0"/>
          <w:caps w:val="0"/>
          <w:color w:val="1A1A1A"/>
          <w:spacing w:val="0"/>
          <w:sz w:val="24"/>
          <w:szCs w:val="24"/>
          <w:bdr w:val="none" w:color="auto" w:sz="0" w:space="0"/>
          <w:shd w:val="clear" w:fill="FFFFFF"/>
        </w:rPr>
        <w:t>类地区控制线降低</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20</w:t>
      </w:r>
      <w:r>
        <w:rPr>
          <w:rFonts w:hint="eastAsia" w:ascii="宋体" w:hAnsi="宋体" w:eastAsia="宋体" w:cs="宋体"/>
          <w:i w:val="0"/>
          <w:iCs w:val="0"/>
          <w:caps w:val="0"/>
          <w:color w:val="1A1A1A"/>
          <w:spacing w:val="0"/>
          <w:sz w:val="24"/>
          <w:szCs w:val="24"/>
          <w:bdr w:val="none" w:color="auto" w:sz="0" w:space="0"/>
          <w:shd w:val="clear" w:fill="FFFFFF"/>
        </w:rPr>
        <w:t>分，单科比国家控制线降低</w:t>
      </w:r>
      <w:r>
        <w:rPr>
          <w:rFonts w:hint="eastAsia" w:ascii="微软雅黑" w:hAnsi="微软雅黑" w:eastAsia="微软雅黑" w:cs="微软雅黑"/>
          <w:i w:val="0"/>
          <w:iCs w:val="0"/>
          <w:caps w:val="0"/>
          <w:color w:val="1A1A1A"/>
          <w:spacing w:val="0"/>
          <w:sz w:val="14"/>
          <w:szCs w:val="14"/>
          <w:bdr w:val="none" w:color="auto" w:sz="0" w:space="0"/>
          <w:shd w:val="clear" w:fill="FFFFFF"/>
          <w:lang w:val="en-US"/>
        </w:rPr>
        <w:t>5</w:t>
      </w:r>
      <w:r>
        <w:rPr>
          <w:rFonts w:hint="eastAsia" w:ascii="宋体" w:hAnsi="宋体" w:eastAsia="宋体" w:cs="宋体"/>
          <w:i w:val="0"/>
          <w:iCs w:val="0"/>
          <w:caps w:val="0"/>
          <w:color w:val="1A1A1A"/>
          <w:spacing w:val="0"/>
          <w:sz w:val="24"/>
          <w:szCs w:val="24"/>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sz w:val="24"/>
          <w:szCs w:val="24"/>
          <w:bdr w:val="none" w:color="auto" w:sz="0" w:space="0"/>
          <w:shd w:val="clear" w:fill="FFFFFF"/>
        </w:rPr>
        <w:t>报考“大学生士兵计划”的退役大学生士兵考生，申请调剂到普通计划录取，其初试成绩须达到调入地区相关专业所在专业学位学科门类的全国初试成绩基本要求。符合条件的，可按规定享受退役大学生士兵初试加分政策。报考普通计划的退役大学生士兵考生，可申请调剂到“大学生士兵计划”录取，其初试成绩须符合我校确定的接受其他培养单位“大学生士兵计划”考生调剂的初试成绩要求。纳入“大学生士兵计划”招录的考生，不再享受退役大学生士兵加分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三、研招网调剂系统</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我院通过“全国硕士研究生招生调剂服务系统”进行调剂。每次开放“调剂服务系统”持续时间不低于</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12</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个小时，超过</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12</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小时后我院将根据调剂考生的数量与缺额情况随时关闭调剂系统。报考我院的调剂考生调剂志愿锁定时间为</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小时，锁定时间到达后，如我院未明确受理意见，锁定解除，可继续填报其他志愿。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840" w:right="0" w:hanging="36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1.</w:t>
      </w:r>
      <w:r>
        <w:rPr>
          <w:rFonts w:ascii="Times New Roman" w:hAnsi="Times New Roman" w:eastAsia="宋体" w:cs="Times New Roman"/>
          <w:i w:val="0"/>
          <w:iCs w:val="0"/>
          <w:caps w:val="0"/>
          <w:color w:val="1A1A1A"/>
          <w:spacing w:val="0"/>
          <w:kern w:val="0"/>
          <w:sz w:val="14"/>
          <w:szCs w:val="14"/>
          <w:bdr w:val="none" w:color="auto" w:sz="0" w:space="0"/>
          <w:shd w:val="clear" w:fill="FFFFFF"/>
          <w:lang w:val="en-US" w:eastAsia="zh-CN" w:bidi="ar"/>
        </w:rPr>
        <w:t> </w:t>
      </w:r>
      <w:r>
        <w:rPr>
          <w:rFonts w:hint="default" w:ascii="Times New Roman" w:hAnsi="Times New Roman" w:eastAsia="宋体" w:cs="Times New Roman"/>
          <w:i w:val="0"/>
          <w:iCs w:val="0"/>
          <w:caps w:val="0"/>
          <w:color w:val="1A1A1A"/>
          <w:spacing w:val="0"/>
          <w:kern w:val="0"/>
          <w:sz w:val="14"/>
          <w:szCs w:val="14"/>
          <w:bdr w:val="none" w:color="auto" w:sz="0" w:space="0"/>
          <w:shd w:val="clear" w:fill="FFFFFF"/>
          <w:lang w:val="en-US" w:eastAsia="zh-CN" w:bidi="ar"/>
        </w:rPr>
        <w:t> </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调剂系统开放时间：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081900矿业工程、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085700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资源与环境（矿业工程）：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6</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00-15</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083700安全科学与工程、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081800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地质资源与地质工程、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083000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环境科学与工程、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085700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资源与环境（安全工程、地质工程、环境工程）：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6</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00-12</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2.符合我院调剂条件及教育部公布的</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A</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类复试分数线要求的考生，可在我院公布调剂计划缺额时间内登录“调剂系统”提交调剂志愿。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3.学院根据拟同意参加复试的考生名单及考生本人的填报志愿在网上通知考生复试，考生需及时查看并确认“复试通知”。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4.复试完成后</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研究生院将根据学院上报的复试及录取结果上报学校招生工作领导小组审定；审核通过后，在调剂系统里给学生发送拟录取通知。请所有调剂考生保持通讯渠道畅通，被“拟录取”的考生在</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小时内须在网上接受拟录取通知，否则视为自动放弃拟录取资格。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5.省级教育招生考试机构进行终审，如不符合政策，将取消录取。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四、复试时间及安排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调剂第一批次：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一、资格审核（考生根据各专业复试时间，在复试前完成资格审核）：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4</w:t>
      </w:r>
      <w:r>
        <w:rPr>
          <w:rFonts w:hint="eastAsia" w:ascii="宋体" w:hAnsi="宋体" w:eastAsia="宋体" w:cs="宋体"/>
          <w:i w:val="0"/>
          <w:iCs w:val="0"/>
          <w:caps w:val="0"/>
          <w:color w:val="1A1A1A"/>
          <w:spacing w:val="0"/>
          <w:sz w:val="24"/>
          <w:szCs w:val="24"/>
          <w:bdr w:val="none" w:color="auto" w:sz="0" w:space="0"/>
          <w:shd w:val="clear" w:fill="FFFFFF"/>
        </w:rPr>
        <w:t>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9</w:t>
      </w:r>
      <w:r>
        <w:rPr>
          <w:rFonts w:hint="eastAsia" w:ascii="宋体" w:hAnsi="宋体" w:eastAsia="宋体" w:cs="宋体"/>
          <w:i w:val="0"/>
          <w:iCs w:val="0"/>
          <w:caps w:val="0"/>
          <w:color w:val="1A1A1A"/>
          <w:spacing w:val="0"/>
          <w:sz w:val="24"/>
          <w:szCs w:val="24"/>
          <w:bdr w:val="none" w:color="auto" w:sz="0" w:space="0"/>
          <w:shd w:val="clear" w:fill="FFFFFF"/>
        </w:rPr>
        <w:t>日，上午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9</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00-11</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00</w:t>
      </w:r>
      <w:r>
        <w:rPr>
          <w:rFonts w:hint="eastAsia" w:ascii="宋体" w:hAnsi="宋体" w:eastAsia="宋体" w:cs="宋体"/>
          <w:i w:val="0"/>
          <w:iCs w:val="0"/>
          <w:caps w:val="0"/>
          <w:color w:val="1A1A1A"/>
          <w:spacing w:val="0"/>
          <w:sz w:val="24"/>
          <w:szCs w:val="24"/>
          <w:bdr w:val="none" w:color="auto" w:sz="0" w:space="0"/>
          <w:shd w:val="clear" w:fill="FFFFFF"/>
        </w:rPr>
        <w:t>，下午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3</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00-6</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00</w:t>
      </w:r>
      <w:r>
        <w:rPr>
          <w:rFonts w:hint="eastAsia" w:ascii="宋体" w:hAnsi="宋体" w:eastAsia="宋体" w:cs="宋体"/>
          <w:i w:val="0"/>
          <w:iCs w:val="0"/>
          <w:caps w:val="0"/>
          <w:color w:val="1A1A1A"/>
          <w:spacing w:val="0"/>
          <w:sz w:val="24"/>
          <w:szCs w:val="24"/>
          <w:bdr w:val="none" w:color="auto" w:sz="0" w:space="0"/>
          <w:shd w:val="clear" w:fill="FFFFFF"/>
        </w:rPr>
        <w:t>，新二教</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A202</w:t>
      </w:r>
      <w:r>
        <w:rPr>
          <w:rFonts w:hint="eastAsia" w:ascii="宋体" w:hAnsi="宋体" w:eastAsia="宋体" w:cs="宋体"/>
          <w:i w:val="0"/>
          <w:iCs w:val="0"/>
          <w:caps w:val="0"/>
          <w:color w:val="1A1A1A"/>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4</w:t>
      </w:r>
      <w:r>
        <w:rPr>
          <w:rFonts w:hint="eastAsia" w:ascii="宋体" w:hAnsi="宋体" w:eastAsia="宋体" w:cs="宋体"/>
          <w:i w:val="0"/>
          <w:iCs w:val="0"/>
          <w:caps w:val="0"/>
          <w:color w:val="1A1A1A"/>
          <w:spacing w:val="0"/>
          <w:sz w:val="24"/>
          <w:szCs w:val="24"/>
          <w:bdr w:val="none" w:color="auto" w:sz="0" w:space="0"/>
          <w:shd w:val="clear" w:fill="FFFFFF"/>
        </w:rPr>
        <w:t>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10-12</w:t>
      </w:r>
      <w:r>
        <w:rPr>
          <w:rFonts w:hint="eastAsia" w:ascii="宋体" w:hAnsi="宋体" w:eastAsia="宋体" w:cs="宋体"/>
          <w:i w:val="0"/>
          <w:iCs w:val="0"/>
          <w:caps w:val="0"/>
          <w:color w:val="1A1A1A"/>
          <w:spacing w:val="0"/>
          <w:sz w:val="24"/>
          <w:szCs w:val="24"/>
          <w:bdr w:val="none" w:color="auto" w:sz="0" w:space="0"/>
          <w:shd w:val="clear" w:fill="FFFFFF"/>
        </w:rPr>
        <w:t>日，上午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8</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30-11</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30</w:t>
      </w:r>
      <w:r>
        <w:rPr>
          <w:rFonts w:hint="eastAsia" w:ascii="宋体" w:hAnsi="宋体" w:eastAsia="宋体" w:cs="宋体"/>
          <w:i w:val="0"/>
          <w:iCs w:val="0"/>
          <w:caps w:val="0"/>
          <w:color w:val="1A1A1A"/>
          <w:spacing w:val="0"/>
          <w:sz w:val="24"/>
          <w:szCs w:val="24"/>
          <w:bdr w:val="none" w:color="auto" w:sz="0" w:space="0"/>
          <w:shd w:val="clear" w:fill="FFFFFF"/>
        </w:rPr>
        <w:t>，下午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2</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30-5</w:t>
      </w:r>
      <w:r>
        <w:rPr>
          <w:rFonts w:hint="eastAsia" w:ascii="宋体" w:hAnsi="宋体" w:eastAsia="宋体" w:cs="宋体"/>
          <w:i w:val="0"/>
          <w:iCs w:val="0"/>
          <w:caps w:val="0"/>
          <w:color w:val="1A1A1A"/>
          <w:spacing w:val="0"/>
          <w:sz w:val="24"/>
          <w:szCs w:val="24"/>
          <w:bdr w:val="none" w:color="auto" w:sz="0" w:space="0"/>
          <w:shd w:val="clear" w:fill="FFFFFF"/>
        </w:rPr>
        <w:t>：</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30</w:t>
      </w:r>
      <w:r>
        <w:rPr>
          <w:rFonts w:hint="eastAsia" w:ascii="宋体" w:hAnsi="宋体" w:eastAsia="宋体" w:cs="宋体"/>
          <w:i w:val="0"/>
          <w:iCs w:val="0"/>
          <w:caps w:val="0"/>
          <w:color w:val="1A1A1A"/>
          <w:spacing w:val="0"/>
          <w:sz w:val="24"/>
          <w:szCs w:val="24"/>
          <w:bdr w:val="none" w:color="auto" w:sz="0" w:space="0"/>
          <w:shd w:val="clear" w:fill="FFFFFF"/>
        </w:rPr>
        <w:t>，新二教</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A307</w:t>
      </w:r>
      <w:r>
        <w:rPr>
          <w:rFonts w:hint="eastAsia" w:ascii="宋体" w:hAnsi="宋体" w:eastAsia="宋体" w:cs="宋体"/>
          <w:i w:val="0"/>
          <w:iCs w:val="0"/>
          <w:caps w:val="0"/>
          <w:color w:val="1A1A1A"/>
          <w:spacing w:val="0"/>
          <w:sz w:val="24"/>
          <w:szCs w:val="24"/>
          <w:bdr w:val="none" w:color="auto" w:sz="0" w:space="0"/>
          <w:shd w:val="clear" w:fill="FFFFFF"/>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bookmarkStart w:id="2" w:name="_Hlk130981113"/>
      <w:bookmarkEnd w:id="2"/>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081900</w:t>
      </w:r>
      <w:r>
        <w:rPr>
          <w:rFonts w:hint="eastAsia" w:ascii="宋体" w:hAnsi="宋体" w:eastAsia="宋体" w:cs="宋体"/>
          <w:i w:val="0"/>
          <w:iCs w:val="0"/>
          <w:caps w:val="0"/>
          <w:color w:val="1A1A1A"/>
          <w:spacing w:val="0"/>
          <w:sz w:val="24"/>
          <w:szCs w:val="24"/>
          <w:bdr w:val="none" w:color="auto" w:sz="0" w:space="0"/>
          <w:shd w:val="clear" w:fill="FFFFFF"/>
        </w:rPr>
        <w:t>矿业工程、</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资源与环境（矿业工程）：预计为</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4</w:t>
      </w:r>
      <w:r>
        <w:rPr>
          <w:rFonts w:hint="eastAsia" w:ascii="宋体" w:hAnsi="宋体" w:eastAsia="宋体" w:cs="宋体"/>
          <w:i w:val="0"/>
          <w:iCs w:val="0"/>
          <w:caps w:val="0"/>
          <w:color w:val="1A1A1A"/>
          <w:spacing w:val="0"/>
          <w:sz w:val="24"/>
          <w:szCs w:val="24"/>
          <w:bdr w:val="none" w:color="auto" w:sz="0" w:space="0"/>
          <w:shd w:val="clear" w:fill="FFFFFF"/>
        </w:rPr>
        <w:t>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10</w:t>
      </w:r>
      <w:r>
        <w:rPr>
          <w:rFonts w:hint="eastAsia" w:ascii="宋体" w:hAnsi="宋体" w:eastAsia="宋体" w:cs="宋体"/>
          <w:i w:val="0"/>
          <w:iCs w:val="0"/>
          <w:caps w:val="0"/>
          <w:color w:val="1A1A1A"/>
          <w:spacing w:val="0"/>
          <w:sz w:val="24"/>
          <w:szCs w:val="24"/>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083700</w:t>
      </w:r>
      <w:r>
        <w:rPr>
          <w:rFonts w:hint="eastAsia" w:ascii="宋体" w:hAnsi="宋体" w:eastAsia="宋体" w:cs="宋体"/>
          <w:i w:val="0"/>
          <w:iCs w:val="0"/>
          <w:caps w:val="0"/>
          <w:color w:val="1A1A1A"/>
          <w:spacing w:val="0"/>
          <w:sz w:val="24"/>
          <w:szCs w:val="24"/>
          <w:bdr w:val="none" w:color="auto" w:sz="0" w:space="0"/>
          <w:shd w:val="clear" w:fill="FFFFFF"/>
        </w:rPr>
        <w:t>安全科学与工程、</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资源与环境（安全工程）：</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4</w:t>
      </w:r>
      <w:r>
        <w:rPr>
          <w:rFonts w:hint="eastAsia" w:ascii="宋体" w:hAnsi="宋体" w:eastAsia="宋体" w:cs="宋体"/>
          <w:i w:val="0"/>
          <w:iCs w:val="0"/>
          <w:caps w:val="0"/>
          <w:color w:val="1A1A1A"/>
          <w:spacing w:val="0"/>
          <w:sz w:val="24"/>
          <w:szCs w:val="24"/>
          <w:bdr w:val="none" w:color="auto" w:sz="0" w:space="0"/>
          <w:shd w:val="clear" w:fill="FFFFFF"/>
        </w:rPr>
        <w:t>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12</w:t>
      </w:r>
      <w:r>
        <w:rPr>
          <w:rFonts w:hint="eastAsia" w:ascii="宋体" w:hAnsi="宋体" w:eastAsia="宋体" w:cs="宋体"/>
          <w:i w:val="0"/>
          <w:iCs w:val="0"/>
          <w:caps w:val="0"/>
          <w:color w:val="1A1A1A"/>
          <w:spacing w:val="0"/>
          <w:sz w:val="24"/>
          <w:szCs w:val="24"/>
          <w:bdr w:val="none" w:color="auto" w:sz="0" w:space="0"/>
          <w:shd w:val="clear" w:fill="FFFFFF"/>
        </w:rPr>
        <w:t>日下午；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081800</w:t>
      </w:r>
      <w:r>
        <w:rPr>
          <w:rFonts w:hint="eastAsia" w:ascii="宋体" w:hAnsi="宋体" w:eastAsia="宋体" w:cs="宋体"/>
          <w:i w:val="0"/>
          <w:iCs w:val="0"/>
          <w:caps w:val="0"/>
          <w:color w:val="1A1A1A"/>
          <w:spacing w:val="0"/>
          <w:sz w:val="24"/>
          <w:szCs w:val="24"/>
          <w:bdr w:val="none" w:color="auto" w:sz="0" w:space="0"/>
          <w:shd w:val="clear" w:fill="FFFFFF"/>
        </w:rPr>
        <w:t>地质资源与地质工程、</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资源与环境（地质工程）：</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4</w:t>
      </w:r>
      <w:r>
        <w:rPr>
          <w:rFonts w:hint="eastAsia" w:ascii="宋体" w:hAnsi="宋体" w:eastAsia="宋体" w:cs="宋体"/>
          <w:i w:val="0"/>
          <w:iCs w:val="0"/>
          <w:caps w:val="0"/>
          <w:color w:val="1A1A1A"/>
          <w:spacing w:val="0"/>
          <w:sz w:val="24"/>
          <w:szCs w:val="24"/>
          <w:bdr w:val="none" w:color="auto" w:sz="0" w:space="0"/>
          <w:shd w:val="clear" w:fill="FFFFFF"/>
        </w:rPr>
        <w:t>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10</w:t>
      </w:r>
      <w:r>
        <w:rPr>
          <w:rFonts w:hint="eastAsia" w:ascii="宋体" w:hAnsi="宋体" w:eastAsia="宋体" w:cs="宋体"/>
          <w:i w:val="0"/>
          <w:iCs w:val="0"/>
          <w:caps w:val="0"/>
          <w:color w:val="1A1A1A"/>
          <w:spacing w:val="0"/>
          <w:sz w:val="24"/>
          <w:szCs w:val="24"/>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083000</w:t>
      </w:r>
      <w:r>
        <w:rPr>
          <w:rFonts w:hint="eastAsia" w:ascii="宋体" w:hAnsi="宋体" w:eastAsia="宋体" w:cs="宋体"/>
          <w:i w:val="0"/>
          <w:iCs w:val="0"/>
          <w:caps w:val="0"/>
          <w:color w:val="1A1A1A"/>
          <w:spacing w:val="0"/>
          <w:sz w:val="24"/>
          <w:szCs w:val="24"/>
          <w:bdr w:val="none" w:color="auto" w:sz="0" w:space="0"/>
          <w:shd w:val="clear" w:fill="FFFFFF"/>
        </w:rPr>
        <w:t>环境科学与工程、</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085700</w:t>
      </w:r>
      <w:r>
        <w:rPr>
          <w:rFonts w:hint="eastAsia" w:ascii="宋体" w:hAnsi="宋体" w:eastAsia="宋体" w:cs="宋体"/>
          <w:i w:val="0"/>
          <w:iCs w:val="0"/>
          <w:caps w:val="0"/>
          <w:color w:val="1A1A1A"/>
          <w:spacing w:val="0"/>
          <w:sz w:val="24"/>
          <w:szCs w:val="24"/>
          <w:bdr w:val="none" w:color="auto" w:sz="0" w:space="0"/>
          <w:shd w:val="clear" w:fill="FFFFFF"/>
        </w:rPr>
        <w:t>资源与环境（环境工程）：</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4</w:t>
      </w:r>
      <w:r>
        <w:rPr>
          <w:rFonts w:hint="eastAsia" w:ascii="宋体" w:hAnsi="宋体" w:eastAsia="宋体" w:cs="宋体"/>
          <w:i w:val="0"/>
          <w:iCs w:val="0"/>
          <w:caps w:val="0"/>
          <w:color w:val="1A1A1A"/>
          <w:spacing w:val="0"/>
          <w:sz w:val="24"/>
          <w:szCs w:val="24"/>
          <w:bdr w:val="none" w:color="auto" w:sz="0" w:space="0"/>
          <w:shd w:val="clear" w:fill="FFFFFF"/>
        </w:rPr>
        <w:t>月</w:t>
      </w:r>
      <w:r>
        <w:rPr>
          <w:rFonts w:hint="eastAsia" w:ascii="微软雅黑" w:hAnsi="微软雅黑" w:eastAsia="微软雅黑" w:cs="微软雅黑"/>
          <w:i w:val="0"/>
          <w:iCs w:val="0"/>
          <w:caps w:val="0"/>
          <w:color w:val="1A1A1A"/>
          <w:spacing w:val="0"/>
          <w:sz w:val="24"/>
          <w:szCs w:val="24"/>
          <w:bdr w:val="none" w:color="auto" w:sz="0" w:space="0"/>
          <w:shd w:val="clear" w:fill="FFFFFF"/>
          <w:lang w:val="en-US"/>
        </w:rPr>
        <w:t>10</w:t>
      </w:r>
      <w:r>
        <w:rPr>
          <w:rFonts w:hint="eastAsia" w:ascii="宋体" w:hAnsi="宋体" w:eastAsia="宋体" w:cs="宋体"/>
          <w:i w:val="0"/>
          <w:iCs w:val="0"/>
          <w:caps w:val="0"/>
          <w:color w:val="1A1A1A"/>
          <w:spacing w:val="0"/>
          <w:sz w:val="24"/>
          <w:szCs w:val="24"/>
          <w:bdr w:val="none" w:color="auto" w:sz="0" w:space="0"/>
          <w:shd w:val="clear" w:fill="FFFFFF"/>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五、复试方式及复试流程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我院</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年硕士研究生复试录取统一采用现场复试形式。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bookmarkStart w:id="3" w:name="_Hlk130889757"/>
      <w:bookmarkEnd w:id="3"/>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严格落实教育部关于严格考生资格审查的要求，在复试前对考生的居民身份证、学生证、学历学位证书、学历学籍核验结果等进行严格审查核验，对不符合规定者，不予复试。考前严格采取“两识别”（人脸识别、人证识别）、“四比对”（报考库、学籍学历库、人口信息库、诚信档案库数据比对）等措施，加强考生身份审核，严防替考。学院要求考生逐一签订《诚信复试承诺书》，确保提交材料真实和复试过程诚信。</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复试前，参加复试考生须向学位点提交以下资料复印件（原件备查），经审查，若发现考生不符合报考条件，取消其复试资格。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    1.准考证。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2.居民身份证。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3.本科学习期间成绩单（需加盖毕业院校教务部门或档案部门章）。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    4.应届毕业生的学生证复印件；往届生的学历证书复印件和教育部学历证书电子注册备案表（或学历认证报告），学位证书复印件</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报考对学位有要求专业的考生）；专科起点获本科毕业证或者专升本的考生还须提交专科毕业证复印件；同等学力考生须提交任意一项：</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a.</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全国自学考试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6</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科以上（含</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6</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科）成绩合格单的复印件并签承诺书（承诺在入学报到时如不能提供毕业证原件，对于学校按照教育部规定取消入学资格无异议）；</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b.</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成人高校专升本在读考生持《教育部学籍在线验证报告》；持在境外获得学历</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学位的考生，须提交教育部留学服务中心出具的认证报告（境外学校在读本科生，不能以应届生身份报考）；在读研究生须提供培养单位出具的同意报考证明，考生还须在拟录取前提供注销原学籍证明；对于在</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9</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日前可取得国家承认本科毕业证书的自学考试和网络教育本科生，须提供考籍卡（证）。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5.报考为定向就业的考生，必须提交本人书面申请和单位同意公函的复印件。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6.《思想政治情况考核表》（在研究生院网站下载），由考生本人档案所在单位的人事、政工部门审核、填写意见并盖章，思想品德考核不合格者不予录取。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7.英语水平测试证书。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8.获奖情况等相关材料。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9.“退役大学生士兵专项硕士研究生招生计划”（以下简称“大学生士兵计划”）考生须提交本人的《入伍批准书》和退役部队签发的《退出现役证》，在复试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天前携带原件及复印件到研究院招生办进行审核。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10.《诚信复试承诺书》。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11.缴费证明（考生缴费成功后截屏图片打印件）。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上述材料中</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9</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11</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项必须在复试前提交，其他材料若暂时无法提供，在不影响复试考核公平性的基础上，可视情况给予缓交。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（二）加分资格审查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0000FF"/>
          <w:spacing w:val="0"/>
          <w:kern w:val="0"/>
          <w:sz w:val="14"/>
          <w:szCs w:val="14"/>
          <w:u w:val="singl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0000FF"/>
          <w:spacing w:val="0"/>
          <w:kern w:val="0"/>
          <w:sz w:val="14"/>
          <w:szCs w:val="14"/>
          <w:u w:val="single"/>
          <w:bdr w:val="none" w:color="auto" w:sz="0" w:space="0"/>
          <w:shd w:val="clear" w:fill="FFFFFF"/>
          <w:lang w:val="en-US" w:eastAsia="zh-CN" w:bidi="ar"/>
        </w:rPr>
        <w:instrText xml:space="preserve"> HYPERLINK "mailto:%E5%85%B7%E5%A4%87%E6%95%99%E8%82%B2%E9%83%A8%E8%A7%84%E5%AE%9A%E5%8A%A0%E5%88%86%E8%B5%84%E6%A0%BC%EF%BC%88%E5%8F%82%E5%8A%A0%E5%A4%A7%E5%AD%A6%E7%94%9F%E5%BF%97%E6%84%BF%E6%9C%8D%E5%8A%A1%E8%A5%BF%E9%83%A8%E8%AE%A1%E5%88%92" </w:instrText>
      </w:r>
      <w:r>
        <w:rPr>
          <w:rFonts w:hint="eastAsia" w:ascii="微软雅黑" w:hAnsi="微软雅黑" w:eastAsia="微软雅黑" w:cs="微软雅黑"/>
          <w:i w:val="0"/>
          <w:iCs w:val="0"/>
          <w:caps w:val="0"/>
          <w:color w:val="0000FF"/>
          <w:spacing w:val="0"/>
          <w:kern w:val="0"/>
          <w:sz w:val="14"/>
          <w:szCs w:val="14"/>
          <w:u w:val="single"/>
          <w:bdr w:val="none" w:color="auto" w:sz="0" w:space="0"/>
          <w:shd w:val="clear" w:fill="FFFFFF"/>
          <w:lang w:val="en-US" w:eastAsia="zh-CN" w:bidi="ar"/>
        </w:rPr>
        <w:fldChar w:fldCharType="separate"/>
      </w:r>
      <w:r>
        <w:rPr>
          <w:rStyle w:val="7"/>
          <w:rFonts w:hint="eastAsia" w:ascii="宋体" w:hAnsi="宋体" w:eastAsia="宋体" w:cs="宋体"/>
          <w:i w:val="0"/>
          <w:iCs w:val="0"/>
          <w:caps w:val="0"/>
          <w:color w:val="000000"/>
          <w:spacing w:val="0"/>
          <w:sz w:val="24"/>
          <w:szCs w:val="24"/>
          <w:u w:val="none"/>
          <w:bdr w:val="none" w:color="auto" w:sz="0" w:space="0"/>
          <w:shd w:val="clear" w:fill="FFFFFF"/>
        </w:rPr>
        <w:t>具备教育部规定加分资格（参加大学生志愿服务西部计划“三支一扶计划”“农村义务教育阶段学校教师特设岗位计划”“赴外汉语教师志愿者”、“选聘高校毕业生到村任职”等）等项目考生，服务期满并考核合格的考生，须在</w:t>
      </w:r>
      <w:r>
        <w:rPr>
          <w:rFonts w:hint="eastAsia" w:ascii="微软雅黑" w:hAnsi="微软雅黑" w:eastAsia="微软雅黑" w:cs="微软雅黑"/>
          <w:i w:val="0"/>
          <w:iCs w:val="0"/>
          <w:caps w:val="0"/>
          <w:color w:val="0000FF"/>
          <w:spacing w:val="0"/>
          <w:kern w:val="0"/>
          <w:sz w:val="14"/>
          <w:szCs w:val="14"/>
          <w:u w:val="single"/>
          <w:bdr w:val="none" w:color="auto" w:sz="0" w:space="0"/>
          <w:shd w:val="clear" w:fill="FFFFFF"/>
          <w:lang w:val="en-US" w:eastAsia="zh-CN" w:bidi="ar"/>
        </w:rPr>
        <w:fldChar w:fldCharType="end"/>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复试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天前携带原件及复印件到研究院招生办进行审核。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研招办根据教育部下发的加分文件审核考生身份和加分项目，经核对无误后方可加上相应的分数；逾期学校将不予受理。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（三）心理健康测试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考生复试前（以复试通知要求为准）考生扫码登录心理健康教育系统进行心理测试，测试结果作为考生心理健康状况评价参考。具体测试操作流程如下：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center"/>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drawing>
          <wp:inline distT="0" distB="0" distL="114300" distR="114300">
            <wp:extent cx="2466975" cy="25146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466975" cy="251460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2023年研究生复试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心理测评二维码</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心理健康测试实施流程：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第一步：使用本人微信或</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QQ</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扫码登录心理健康教育系统，用户名和密码均为考生编号（</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15</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第二步：请考生检查并根据实际情况修改其个人资料。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第三步：点击【测试】参与测评。</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第四步：测试只能做一次，不能重复施测，完成之后提交试卷，显示“提交成功”即可。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（四）体检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我校复试阶段不统一组织体检。考生在入学时，将个人有效体检报告（二甲医院以上，入学前三个月内均可）上交至学院，未按时提交体检报告或体检不合格者，将取消其录取资格。体检按照《普通高等学校招生体检工作指导意见》（教学〔</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2003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号）、《教育部办公厅 卫生部办公厅关于普通高等学校招生学生入学身体检查取消乙肝项目检测有关问题的通知》（教学厅〔</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2010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号）等文件要求执行。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（五）复试费标准及缴费方式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根据湖南省发展改革委等《关于加强我省研究生收费管理的通知》（湘发改价费〔</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2018</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99</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号）规定，研究生招生复试费为</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120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元</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生。考生复试前通过银行或手机银行</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app</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汇款至南华大学（不支持微信、支付宝转账）：</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户名：南华大学</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        </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账号：</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43001510064050005899</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开户行：建行衡阳石鼓支行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转账汇款时在备注中注明：复试费</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姓名</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报考专业（简称），因备注的字数有限，可简短备注，如：复试费张</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临床。考生缴费凭证提交各学院存档。</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学院审核复试考生的缴费情况，未交纳复试费者不得参加复试；已交纳者如因本人原因没来参加复试，我校不予退费。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六、</w:t>
      </w:r>
      <w:bookmarkStart w:id="4" w:name="_Hlk130890147"/>
      <w:bookmarkEnd w:id="4"/>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复试内容与成绩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根据培养目标要求、学科专业特点和办学特色等，对考生创新能力、专业素养和综合素质进行考查，促进拔尖创新人才脱颖而出。复试内容包括：专业笔试、实践（实验）能力的考核、综合面试等，总分为</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分。参考科目见下表。</w:t>
      </w:r>
    </w:p>
    <w:tbl>
      <w:tblPr>
        <w:tblW w:w="9900" w:type="dxa"/>
        <w:jc w:val="center"/>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Layout w:type="autofit"/>
        <w:tblCellMar>
          <w:top w:w="0" w:type="dxa"/>
          <w:left w:w="0" w:type="dxa"/>
          <w:bottom w:w="0" w:type="dxa"/>
          <w:right w:w="0" w:type="dxa"/>
        </w:tblCellMar>
      </w:tblPr>
      <w:tblGrid>
        <w:gridCol w:w="3039"/>
        <w:gridCol w:w="1691"/>
        <w:gridCol w:w="2369"/>
        <w:gridCol w:w="2801"/>
      </w:tblGrid>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397" w:hRule="atLeast"/>
          <w:jc w:val="center"/>
        </w:trPr>
        <w:tc>
          <w:tcPr>
            <w:tcW w:w="254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Style w:val="6"/>
                <w:rFonts w:hint="eastAsia" w:ascii="宋体" w:hAnsi="宋体" w:eastAsia="宋体" w:cs="宋体"/>
                <w:color w:val="1A1A1A"/>
                <w:sz w:val="24"/>
                <w:szCs w:val="24"/>
                <w:bdr w:val="none" w:color="auto" w:sz="0" w:space="0"/>
              </w:rPr>
              <w:t>专业名称及代码</w:t>
            </w:r>
          </w:p>
        </w:tc>
        <w:tc>
          <w:tcPr>
            <w:tcW w:w="141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Style w:val="6"/>
                <w:rFonts w:hint="eastAsia" w:ascii="宋体" w:hAnsi="宋体" w:eastAsia="宋体" w:cs="宋体"/>
                <w:color w:val="1A1A1A"/>
                <w:sz w:val="24"/>
                <w:szCs w:val="24"/>
                <w:bdr w:val="none" w:color="auto" w:sz="0" w:space="0"/>
              </w:rPr>
              <w:t>研究方向</w:t>
            </w:r>
          </w:p>
        </w:tc>
        <w:tc>
          <w:tcPr>
            <w:tcW w:w="1985"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Style w:val="6"/>
                <w:rFonts w:hint="eastAsia" w:ascii="宋体" w:hAnsi="宋体" w:eastAsia="宋体" w:cs="宋体"/>
                <w:color w:val="1A1A1A"/>
                <w:sz w:val="24"/>
                <w:szCs w:val="24"/>
                <w:bdr w:val="none" w:color="auto" w:sz="0" w:space="0"/>
              </w:rPr>
              <w:t>笔试科目</w:t>
            </w:r>
          </w:p>
        </w:tc>
        <w:tc>
          <w:tcPr>
            <w:tcW w:w="2347"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Style w:val="6"/>
                <w:rFonts w:hint="eastAsia" w:ascii="宋体" w:hAnsi="宋体" w:eastAsia="宋体" w:cs="宋体"/>
                <w:color w:val="1A1A1A"/>
                <w:sz w:val="24"/>
                <w:szCs w:val="24"/>
                <w:bdr w:val="none" w:color="auto" w:sz="0" w:space="0"/>
              </w:rPr>
              <w:t>加试科目</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397" w:hRule="atLeast"/>
          <w:jc w:val="center"/>
        </w:trPr>
        <w:tc>
          <w:tcPr>
            <w:tcW w:w="254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081900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矿业工程</w:t>
            </w: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 </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《矿业工程综合》（含矿业工程（智能矿山）、矿山环境工程、矿山土建、通风与安全等专业知识）</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《岩体力学》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《流体力学》</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397" w:hRule="atLeast"/>
          <w:jc w:val="center"/>
        </w:trPr>
        <w:tc>
          <w:tcPr>
            <w:tcW w:w="254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083700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安全科学与工程</w:t>
            </w: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 </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《安全工程综合》</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《安全学原理》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《安全管理学》</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397" w:hRule="atLeast"/>
          <w:jc w:val="center"/>
        </w:trPr>
        <w:tc>
          <w:tcPr>
            <w:tcW w:w="254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081800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地质资源与地质工程</w:t>
            </w: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 </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《矿床学》</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《岩石学》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《构造地质学》</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254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083000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环境科学与工程</w:t>
            </w: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 </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《环境工程概论》</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《水污染控制工程》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《大气污染控制工程》</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397" w:hRule="atLeast"/>
          <w:jc w:val="center"/>
        </w:trPr>
        <w:tc>
          <w:tcPr>
            <w:tcW w:w="2547"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微软雅黑" w:hAnsi="微软雅黑" w:eastAsia="微软雅黑" w:cs="微软雅黑"/>
                <w:color w:val="1A1A1A"/>
                <w:sz w:val="14"/>
                <w:szCs w:val="14"/>
                <w:bdr w:val="none" w:color="auto" w:sz="0" w:space="0"/>
                <w:lang w:val="en-US"/>
              </w:rPr>
              <w:t>085700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资源与环境</w:t>
            </w: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矿业工程</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《矿业工程综合》（含矿业工程（智能矿山）、矿山环境工程、矿山土建、通风与安全等专业知识）</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《岩体力学》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《流体力学》</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397" w:hRule="atLeast"/>
          <w:jc w:val="center"/>
        </w:trPr>
        <w:tc>
          <w:tcPr>
            <w:tcW w:w="2547"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安全工程</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《安全工程综合》</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《安全学原理》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《安全管理学》</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shd w:val="clear"/>
          <w:tblCellMar>
            <w:top w:w="0" w:type="dxa"/>
            <w:left w:w="0" w:type="dxa"/>
            <w:bottom w:w="0" w:type="dxa"/>
            <w:right w:w="0" w:type="dxa"/>
          </w:tblCellMar>
        </w:tblPrEx>
        <w:trPr>
          <w:trHeight w:val="397" w:hRule="atLeast"/>
          <w:jc w:val="center"/>
        </w:trPr>
        <w:tc>
          <w:tcPr>
            <w:tcW w:w="2547"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地质工程</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《矿床学》</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《岩石学》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《构造地质学》</w:t>
            </w:r>
          </w:p>
        </w:tc>
      </w:tr>
      <w:tr>
        <w:tblPrEx>
          <w:tblBorders>
            <w:top w:val="single" w:color="CCCCCC" w:sz="4" w:space="0"/>
            <w:left w:val="single" w:color="CCCCCC" w:sz="4" w:space="0"/>
            <w:bottom w:val="single" w:color="CCCCCC" w:sz="4" w:space="0"/>
            <w:right w:val="single" w:color="CCCCCC" w:sz="4" w:space="0"/>
            <w:insideH w:val="none" w:color="auto" w:sz="0" w:space="0"/>
            <w:insideV w:val="none" w:color="auto" w:sz="0" w:space="0"/>
          </w:tblBorders>
          <w:tblCellMar>
            <w:top w:w="0" w:type="dxa"/>
            <w:left w:w="0" w:type="dxa"/>
            <w:bottom w:w="0" w:type="dxa"/>
            <w:right w:w="0" w:type="dxa"/>
          </w:tblCellMar>
        </w:tblPrEx>
        <w:trPr>
          <w:trHeight w:val="397" w:hRule="atLeast"/>
          <w:jc w:val="center"/>
        </w:trPr>
        <w:tc>
          <w:tcPr>
            <w:tcW w:w="2547"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141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环境工程</w:t>
            </w:r>
          </w:p>
        </w:tc>
        <w:tc>
          <w:tcPr>
            <w:tcW w:w="198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《环境工程学》</w:t>
            </w:r>
          </w:p>
        </w:tc>
        <w:tc>
          <w:tcPr>
            <w:tcW w:w="2347"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《水污染控制工程》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80" w:lineRule="atLeast"/>
              <w:ind w:left="0" w:right="0" w:firstLine="0"/>
              <w:jc w:val="both"/>
              <w:rPr>
                <w:rFonts w:hint="default" w:ascii="Times New Roman" w:hAnsi="Times New Roman" w:cs="Times New Roman"/>
                <w:color w:val="1A1A1A"/>
                <w:sz w:val="15"/>
                <w:szCs w:val="15"/>
              </w:rPr>
            </w:pPr>
            <w:r>
              <w:rPr>
                <w:rFonts w:hint="eastAsia" w:ascii="宋体" w:hAnsi="宋体" w:eastAsia="宋体" w:cs="宋体"/>
                <w:color w:val="1A1A1A"/>
                <w:sz w:val="14"/>
                <w:szCs w:val="14"/>
                <w:bdr w:val="none" w:color="auto" w:sz="0" w:space="0"/>
              </w:rPr>
              <w:t>《大气污染控制工程》</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1.专业笔试：主要为专业课考试，满分为</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2.实践（实验）能力的考核：满分为</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分。主要测试实验和操作技能，或解决实际问题的能力。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3.综合面试：主要对考生的思想政治素质和品德、专业素质和能力、综合素质和能力、外语听力及口语测试进行考察，时间一般不少于</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分钟，满分为</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100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分。一般包括以下内容：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）思想政治素质和品德考核：主要是考核考生本人的现实表现，内容包括考生的政治立场、思想表现、道德品质、遵纪守法、诚实守信等方面，对于思想品德考核不合格者不予录取。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）专业素质和能力：全面考核考生对本学科（专业）理论知识和应用技能掌握程度，利用所学理论发现、分析和解决问题的能力，对本学科发展动态的了解以及在本专业领域发展的潜力；创新精神和创新能力。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综合素质和能力：本学科（专业）以外的学习、科研、社会实践（学生工作、社团活动、志愿服务等）或实际工作表现等方面的情况；事业心、责任感、纪律性（遵纪守法）、协作性和心理健康情况；人文素养；举止和表达礼仪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）外语听力及口语测试：时间一般不少于</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5</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分钟，以口语对话形式考察学生外语听说能力。具体以各学位点招生单位公布复试方案为准。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textAlignment w:val="baseline"/>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5</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）为充分发挥复试对考生综合能力的考查作用，各学位点可根据学科（专业）特点及办学特色决定复试内容。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left"/>
        <w:textAlignment w:val="baseline"/>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复试成绩计算具体如下</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textAlignment w:val="baseline"/>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复试成绩（</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100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分）</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专业笔试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×30%+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实践（实验）能力考核</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×30%+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综合面试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×40%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（适用于</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081900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矿业工程、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081800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地质资源与地质工程、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083000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环境科学与工程、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085700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资源与环境（矿业工程）、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085700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资源与环境（地质工程）、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085700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资源与环境（环境工程））；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textAlignment w:val="baseline"/>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复试成绩（</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100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分）</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专业笔试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×30%+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实践（实验）能力考核</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×20%+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综合面试</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×50%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（适用于</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083700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安全科学与工程、</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085700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资源与环境（安全工程））。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textAlignment w:val="baseline"/>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4.加试：同等学力报考的考生，在复试中须加试至少两门与报考专业相关的本科主干课程（加试科目不得与初试科目相同），满分为</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100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分，加试方式为笔试。加试成绩不计入复试成绩总分，但任意一门不及格（低于</w:t>
      </w:r>
      <w:r>
        <w:rPr>
          <w:rFonts w:hint="eastAsia" w:ascii="微软雅黑" w:hAnsi="微软雅黑" w:eastAsia="微软雅黑" w:cs="微软雅黑"/>
          <w:i w:val="0"/>
          <w:iCs w:val="0"/>
          <w:caps w:val="0"/>
          <w:color w:val="1A1A1A"/>
          <w:spacing w:val="0"/>
          <w:kern w:val="0"/>
          <w:sz w:val="14"/>
          <w:szCs w:val="14"/>
          <w:bdr w:val="none" w:color="auto" w:sz="0" w:space="0"/>
          <w:shd w:val="clear" w:fill="FFFFFF"/>
          <w:vertAlign w:val="baseline"/>
          <w:lang w:val="en-US" w:eastAsia="zh-CN" w:bidi="ar"/>
        </w:rPr>
        <w:t>60</w:t>
      </w:r>
      <w:r>
        <w:rPr>
          <w:rFonts w:hint="eastAsia" w:ascii="宋体" w:hAnsi="宋体" w:eastAsia="宋体" w:cs="宋体"/>
          <w:i w:val="0"/>
          <w:iCs w:val="0"/>
          <w:caps w:val="0"/>
          <w:color w:val="1A1A1A"/>
          <w:spacing w:val="0"/>
          <w:kern w:val="0"/>
          <w:sz w:val="24"/>
          <w:szCs w:val="24"/>
          <w:bdr w:val="none" w:color="auto" w:sz="0" w:space="0"/>
          <w:shd w:val="clear" w:fill="FFFFFF"/>
          <w:vertAlign w:val="baseline"/>
          <w:lang w:val="en-US" w:eastAsia="zh-CN" w:bidi="ar"/>
        </w:rPr>
        <w:t>分）者将不予录取。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七、拟录取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（一）复试考生的综合成绩按初试成绩占</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60%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，复试成绩占</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计算，其中</w:t>
      </w: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复试不合格者不予拟录取（总分为</w:t>
      </w:r>
      <w:r>
        <w:rPr>
          <w:rStyle w:val="6"/>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100</w:t>
      </w: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分，低于</w:t>
      </w:r>
      <w:r>
        <w:rPr>
          <w:rStyle w:val="6"/>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60</w:t>
      </w: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分为不合格），</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根据各专业的招生计划数和综合成绩排名择优录取</w:t>
      </w: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，综合成绩计算具体如下：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考生综合成绩(100分)=初试总分/a</w:t>
      </w:r>
      <w:bookmarkStart w:id="5" w:name="_Hlk130988675"/>
      <w:bookmarkEnd w:id="5"/>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初试科目满分500分的专业a为5，初试科目满分300分的专业a为3。</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2"/>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调剂考生的拟录取专业必须与调剂网申请调剂专业保持一致。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（二）复试通过的考生须签订拟录取承诺书，复试情况登记表及拟录取汇总表上</w:t>
      </w: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学习形式必须注明“全日制”或“非全日制”</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（三）拟录取考生凭我校研究生招生办公室出具的调档通知回档案所在单位调取档案及工资关系，在规定时间内寄达我校。应届毕业生可毕业后将档案再寄达我校。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四）报考定向就业的硕士研究生须在拟录取前与学校、用人单位共同签订三方协议，在拟录取公示开始一周内向学校提交。考生因报考硕士研究生与所在单位产生的问题由考生自行处理。若因此造成考生不能复试或无法录取，我校不承担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（五）被录取的新生，经考生本人申请，学院和学校同意后，可以在</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25</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日前向学校研招办申请保留入学资格</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1-2</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年再入学。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（六）公示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    学院将每批次复试结果及拟录取名单在本单位网站进行公示，公示时间不少于一周。</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八、日程安排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     4月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6</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24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日，组织调剂志愿考生复试、整理数据并上报；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     4月</w:t>
      </w:r>
      <w:r>
        <w:rPr>
          <w:rFonts w:hint="eastAsia" w:ascii="微软雅黑" w:hAnsi="微软雅黑" w:eastAsia="微软雅黑" w:cs="微软雅黑"/>
          <w:i w:val="0"/>
          <w:iCs w:val="0"/>
          <w:caps w:val="0"/>
          <w:color w:val="1A1A1A"/>
          <w:spacing w:val="0"/>
          <w:kern w:val="0"/>
          <w:sz w:val="14"/>
          <w:szCs w:val="14"/>
          <w:bdr w:val="none" w:color="auto" w:sz="0" w:space="0"/>
          <w:shd w:val="clear" w:fill="FFFFFF"/>
          <w:lang w:val="en-US" w:eastAsia="zh-CN" w:bidi="ar"/>
        </w:rPr>
        <w:t>30</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日前，完成所有复试录取工作；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     5月下旬，将录取数据上报教育部备案；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     6月中下旬，学校研招办发出录取通知书。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r>
        <w:rPr>
          <w:rStyle w:val="6"/>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九、其它</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both"/>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本方案中不明事项可参考《南华大学</w:t>
      </w: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年硕士研究生复试录取工作方案》及《南华大学资源环境与安全工程学院</w:t>
      </w: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年硕士研究生复试录取工作方案》。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left"/>
        <w:rPr>
          <w:rFonts w:hint="default" w:ascii="Times New Roman" w:hAnsi="Times New Roman" w:cs="Times New Roman"/>
          <w:color w:val="1A1A1A"/>
          <w:sz w:val="15"/>
          <w:szCs w:val="15"/>
        </w:rPr>
      </w:pP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本方案最终解释权归资源环境与安全工程学院。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left"/>
        <w:rPr>
          <w:rFonts w:hint="default" w:ascii="Times New Roman" w:hAnsi="Times New Roman" w:cs="Times New Roman"/>
          <w:color w:val="1A1A1A"/>
          <w:sz w:val="15"/>
          <w:szCs w:val="15"/>
        </w:rPr>
      </w:pPr>
      <w:r>
        <w:rPr>
          <w:rStyle w:val="6"/>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left"/>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80"/>
        <w:jc w:val="right"/>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南华大学资源环境与安全工程学院</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00" w:beforeAutospacing="0" w:after="0" w:afterAutospacing="0" w:line="225" w:lineRule="atLeast"/>
        <w:ind w:left="0" w:right="0" w:firstLine="6600"/>
        <w:jc w:val="right"/>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2023</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年</w:t>
      </w: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4</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月</w:t>
      </w: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5</w:t>
      </w:r>
      <w:r>
        <w:rPr>
          <w:rFonts w:hint="eastAsia" w:ascii="宋体" w:hAnsi="宋体" w:eastAsia="宋体" w:cs="宋体"/>
          <w:i w:val="0"/>
          <w:iCs w:val="0"/>
          <w:caps w:val="0"/>
          <w:color w:val="1A1A1A"/>
          <w:spacing w:val="0"/>
          <w:kern w:val="0"/>
          <w:sz w:val="24"/>
          <w:szCs w:val="24"/>
          <w:bdr w:val="none" w:color="auto" w:sz="0" w:space="0"/>
          <w:shd w:val="clear" w:fill="FFFFFF"/>
          <w:lang w:val="en-US" w:eastAsia="zh-CN" w:bidi="ar"/>
        </w:rPr>
        <w:t>日</w:t>
      </w: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6600"/>
        <w:jc w:val="right"/>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6600"/>
        <w:jc w:val="right"/>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6600"/>
        <w:jc w:val="right"/>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420"/>
        <w:jc w:val="both"/>
        <w:rPr>
          <w:rFonts w:hint="default" w:ascii="Times New Roman" w:hAnsi="Times New Roman" w:cs="Times New Roman"/>
          <w:color w:val="1A1A1A"/>
          <w:sz w:val="15"/>
          <w:szCs w:val="15"/>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25" w:lineRule="atLeast"/>
        <w:ind w:left="0" w:right="0" w:firstLine="6600"/>
        <w:jc w:val="right"/>
        <w:rPr>
          <w:rFonts w:hint="default" w:ascii="Times New Roman" w:hAnsi="Times New Roman" w:cs="Times New Roman"/>
          <w:color w:val="1A1A1A"/>
          <w:sz w:val="15"/>
          <w:szCs w:val="15"/>
        </w:rPr>
      </w:pPr>
      <w:r>
        <w:rPr>
          <w:rFonts w:hint="eastAsia" w:ascii="微软雅黑" w:hAnsi="微软雅黑" w:eastAsia="微软雅黑" w:cs="微软雅黑"/>
          <w:i w:val="0"/>
          <w:iCs w:val="0"/>
          <w:caps w:val="0"/>
          <w:color w:val="1A1A1A"/>
          <w:spacing w:val="0"/>
          <w:kern w:val="0"/>
          <w:sz w:val="24"/>
          <w:szCs w:val="24"/>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instrText xml:space="preserve"> HYPERLINK "https://hzyxy.usc.edu.cn/system/_content/download.jsp?urltype=news.DownloadAttachUrl&amp;owner=999165521&amp;wbfileid=11490048" \t "https://hzyxy.usc.edu.cn/info/1125/_blank" </w:instrTex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14"/>
          <w:szCs w:val="14"/>
          <w:u w:val="single"/>
          <w:bdr w:val="none" w:color="auto" w:sz="0" w:space="0"/>
          <w:shd w:val="clear" w:fill="FFFFFF"/>
        </w:rPr>
        <w:t>附件2：南华大学2023年硕士研究生复试报到单.doc</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】已下载434次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instrText xml:space="preserve"> HYPERLINK "https://hzyxy.usc.edu.cn/system/_content/download.jsp?urltype=news.DownloadAttachUrl&amp;owner=999165521&amp;wbfileid=11490049" \t "https://hzyxy.usc.edu.cn/info/1125/_blank" </w:instrTex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14"/>
          <w:szCs w:val="14"/>
          <w:u w:val="single"/>
          <w:bdr w:val="none" w:color="auto" w:sz="0" w:space="0"/>
          <w:shd w:val="clear" w:fill="FFFFFF"/>
        </w:rPr>
        <w:t>附件1：诚信复试承诺书.docx</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】已下载393次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instrText xml:space="preserve"> HYPERLINK "https://hzyxy.usc.edu.cn/system/_content/download.jsp?urltype=news.DownloadAttachUrl&amp;owner=999165521&amp;wbfileid=11490050" \t "https://hzyxy.usc.edu.cn/info/1125/_blank" </w:instrTex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14"/>
          <w:szCs w:val="14"/>
          <w:u w:val="single"/>
          <w:bdr w:val="none" w:color="auto" w:sz="0" w:space="0"/>
          <w:shd w:val="clear" w:fill="FFFFFF"/>
        </w:rPr>
        <w:t>附件3：南华大学2023年硕士研究生复试情况表.doc</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】已下载429次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instrText xml:space="preserve"> HYPERLINK "https://hzyxy.usc.edu.cn/system/_content/download.jsp?urltype=news.DownloadAttachUrl&amp;owner=999165521&amp;wbfileid=11490051" \t "https://hzyxy.usc.edu.cn/info/1125/_blank" </w:instrTex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14"/>
          <w:szCs w:val="14"/>
          <w:u w:val="single"/>
          <w:bdr w:val="none" w:color="auto" w:sz="0" w:space="0"/>
          <w:shd w:val="clear" w:fill="FFFFFF"/>
        </w:rPr>
        <w:t>附件4：南华大学2023年招收攻读硕士学位研究生新生录取思想政治考核表.doc</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】已下载408次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instrText xml:space="preserve"> HYPERLINK "https://hzyxy.usc.edu.cn/system/_content/download.jsp?urltype=news.DownloadAttachUrl&amp;owner=999165521&amp;wbfileid=11490052" \t "https://hzyxy.usc.edu.cn/info/1125/_blank" </w:instrTex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14"/>
          <w:szCs w:val="14"/>
          <w:u w:val="single"/>
          <w:bdr w:val="none" w:color="auto" w:sz="0" w:space="0"/>
          <w:shd w:val="clear" w:fill="FFFFFF"/>
        </w:rPr>
        <w:t>附件5：拟录取承诺书.doc</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】已下载274次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微软雅黑" w:hAnsi="微软雅黑" w:eastAsia="微软雅黑" w:cs="微软雅黑"/>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附件【</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begin"/>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instrText xml:space="preserve"> HYPERLINK "https://hzyxy.usc.edu.cn/system/_content/download.jsp?urltype=news.DownloadAttachUrl&amp;owner=999165521&amp;wbfileid=11490053" \t "https://hzyxy.usc.edu.cn/info/1125/_blank" </w:instrTex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0000FF"/>
          <w:spacing w:val="0"/>
          <w:sz w:val="14"/>
          <w:szCs w:val="14"/>
          <w:u w:val="single"/>
          <w:bdr w:val="none" w:color="auto" w:sz="0" w:space="0"/>
          <w:shd w:val="clear" w:fill="FFFFFF"/>
        </w:rPr>
        <w:t>附件6：2023年南华大学硕士研究生复试考生须知.doc</w:t>
      </w:r>
      <w:r>
        <w:rPr>
          <w:rFonts w:hint="eastAsia" w:ascii="微软雅黑" w:hAnsi="微软雅黑" w:eastAsia="微软雅黑" w:cs="微软雅黑"/>
          <w:i w:val="0"/>
          <w:iCs w:val="0"/>
          <w:caps w:val="0"/>
          <w:color w:val="0000FF"/>
          <w:spacing w:val="0"/>
          <w:sz w:val="14"/>
          <w:szCs w:val="14"/>
          <w:u w:val="single"/>
          <w:bdr w:val="none" w:color="auto" w:sz="0" w:space="0"/>
          <w:shd w:val="clear" w:fill="FFFFFF"/>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FFFFF"/>
        </w:rPr>
        <w:t>】已下载325次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87A026"/>
    <w:multiLevelType w:val="multilevel"/>
    <w:tmpl w:val="3B87A02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04E2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2023-05-18T09:00:12Z</dcterms:created>
  <dc:creator>Administrator</dc:creator>
  <cp:lastModifiedBy>王英</cp:lastModifiedBy>
  <dcterms:modified xsi:type="dcterms:W3CDTF">2023-05-18T09:00:22Z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44F7621B7E3E437AB46CA9D19542E256</vt:lpwstr>
  </property>
</Properties>
</file>