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008000"/>
          <w:sz w:val="26"/>
          <w:szCs w:val="26"/>
        </w:rPr>
      </w:pPr>
      <w:r>
        <w:rPr>
          <w:i w:val="0"/>
          <w:iCs w:val="0"/>
          <w:caps w:val="0"/>
          <w:color w:val="008000"/>
          <w:spacing w:val="0"/>
          <w:sz w:val="26"/>
          <w:szCs w:val="26"/>
          <w:bdr w:val="none" w:color="auto" w:sz="0" w:space="0"/>
          <w:shd w:val="clear" w:fill="E1DFDB"/>
        </w:rPr>
        <w:t>南昌大学旅游学院2023年招收攻读硕士学位研究生调剂复试录取工作实施细则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sz w:val="16"/>
          <w:szCs w:val="16"/>
        </w:rPr>
      </w:pPr>
      <w:r>
        <w:rPr>
          <w:rFonts w:ascii="微软雅黑" w:hAnsi="微软雅黑" w:eastAsia="微软雅黑" w:cs="微软雅黑"/>
          <w:i w:val="0"/>
          <w:iCs w:val="0"/>
          <w:caps w:val="0"/>
          <w:color w:val="000000"/>
          <w:spacing w:val="0"/>
          <w:sz w:val="16"/>
          <w:szCs w:val="16"/>
          <w:bdr w:val="none" w:color="auto" w:sz="0" w:space="0"/>
          <w:shd w:val="clear" w:fill="E1DFDB"/>
        </w:rPr>
        <w:t>发布日期：2023-04-05 浏览数：696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38" w:beforeAutospacing="0" w:after="338" w:afterAutospacing="0" w:line="440" w:lineRule="atLeast"/>
        <w:ind w:left="0" w:right="0" w:firstLine="420"/>
        <w:jc w:val="center"/>
        <w:rPr>
          <w:sz w:val="19"/>
          <w:szCs w:val="19"/>
        </w:rPr>
      </w:pPr>
      <w:r>
        <w:rPr>
          <w:rFonts w:ascii="仿宋" w:hAnsi="仿宋" w:eastAsia="仿宋" w:cs="仿宋"/>
          <w:b/>
          <w:bCs/>
          <w:i w:val="0"/>
          <w:iCs w:val="0"/>
          <w:caps w:val="0"/>
          <w:color w:val="222121"/>
          <w:spacing w:val="0"/>
          <w:sz w:val="32"/>
          <w:szCs w:val="32"/>
          <w:bdr w:val="none" w:color="auto" w:sz="0" w:space="0"/>
        </w:rPr>
        <w:t>南昌大学旅游学院2023年招收攻读硕士学位研究生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38" w:beforeAutospacing="0" w:after="338" w:afterAutospacing="0" w:line="440" w:lineRule="atLeast"/>
        <w:ind w:left="0" w:right="0" w:firstLine="420"/>
        <w:jc w:val="center"/>
        <w:rPr>
          <w:sz w:val="19"/>
          <w:szCs w:val="19"/>
        </w:rPr>
      </w:pPr>
      <w:r>
        <w:rPr>
          <w:rFonts w:hint="eastAsia" w:ascii="仿宋" w:hAnsi="仿宋" w:eastAsia="仿宋" w:cs="仿宋"/>
          <w:b/>
          <w:bCs/>
          <w:i w:val="0"/>
          <w:iCs w:val="0"/>
          <w:caps w:val="0"/>
          <w:color w:val="222121"/>
          <w:spacing w:val="0"/>
          <w:sz w:val="32"/>
          <w:szCs w:val="32"/>
          <w:bdr w:val="none" w:color="auto" w:sz="0" w:space="0"/>
        </w:rPr>
        <w:t>调剂复试录取工作实施细则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rPr>
          <w:sz w:val="19"/>
          <w:szCs w:val="19"/>
        </w:rPr>
      </w:pPr>
      <w:r>
        <w:rPr>
          <w:rFonts w:hint="eastAsia" w:ascii="仿宋" w:hAnsi="仿宋" w:eastAsia="仿宋" w:cs="仿宋"/>
          <w:b/>
          <w:bCs/>
          <w:i w:val="0"/>
          <w:iCs w:val="0"/>
          <w:caps w:val="0"/>
          <w:color w:val="000000"/>
          <w:spacing w:val="-4"/>
          <w:sz w:val="30"/>
          <w:szCs w:val="30"/>
          <w:bdr w:val="none" w:color="auto" w:sz="0" w:space="0"/>
        </w:rPr>
        <w:t>一、复试比例与招生计划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旅游管理学硕（专业代码：120203）缺额2人，调剂复试比例为1：2，详情见表1。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jc w:val="center"/>
        <w:rPr>
          <w:sz w:val="19"/>
          <w:szCs w:val="19"/>
        </w:rPr>
      </w:pPr>
      <w:r>
        <w:rPr>
          <w:rFonts w:hint="eastAsia" w:ascii="仿宋" w:hAnsi="仿宋" w:eastAsia="仿宋" w:cs="仿宋"/>
          <w:b/>
          <w:bCs/>
          <w:i w:val="0"/>
          <w:iCs w:val="0"/>
          <w:caps w:val="0"/>
          <w:color w:val="000000"/>
          <w:spacing w:val="0"/>
          <w:sz w:val="24"/>
          <w:szCs w:val="24"/>
          <w:bdr w:val="none" w:color="auto" w:sz="0" w:space="0"/>
        </w:rPr>
        <w:t>表1 旅游学院调剂复试比例和招生计划</w:t>
      </w:r>
    </w:p>
    <w:tbl>
      <w:tblPr>
        <w:tblW w:w="853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35"/>
        <w:gridCol w:w="1310"/>
        <w:gridCol w:w="970"/>
        <w:gridCol w:w="1233"/>
        <w:gridCol w:w="1491"/>
        <w:gridCol w:w="19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2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专业名称</w:t>
            </w:r>
          </w:p>
        </w:tc>
        <w:tc>
          <w:tcPr>
            <w:tcW w:w="110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学习方式</w:t>
            </w:r>
          </w:p>
        </w:tc>
        <w:tc>
          <w:tcPr>
            <w:tcW w:w="821"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类型</w:t>
            </w:r>
          </w:p>
        </w:tc>
        <w:tc>
          <w:tcPr>
            <w:tcW w:w="104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调剂计划</w:t>
            </w:r>
          </w:p>
        </w:tc>
        <w:tc>
          <w:tcPr>
            <w:tcW w:w="126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调剂比例</w:t>
            </w:r>
          </w:p>
        </w:tc>
        <w:tc>
          <w:tcPr>
            <w:tcW w:w="168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2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旅游管理</w:t>
            </w:r>
          </w:p>
        </w:tc>
        <w:tc>
          <w:tcPr>
            <w:tcW w:w="110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全日制</w:t>
            </w:r>
          </w:p>
        </w:tc>
        <w:tc>
          <w:tcPr>
            <w:tcW w:w="821"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学术</w:t>
            </w:r>
          </w:p>
        </w:tc>
        <w:tc>
          <w:tcPr>
            <w:tcW w:w="104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2</w:t>
            </w:r>
          </w:p>
        </w:tc>
        <w:tc>
          <w:tcPr>
            <w:tcW w:w="126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420"/>
              <w:jc w:val="center"/>
              <w:rPr>
                <w:sz w:val="19"/>
                <w:szCs w:val="19"/>
              </w:rPr>
            </w:pPr>
            <w:r>
              <w:rPr>
                <w:rFonts w:hint="eastAsia" w:ascii="宋体" w:hAnsi="宋体" w:eastAsia="宋体" w:cs="宋体"/>
                <w:sz w:val="21"/>
                <w:szCs w:val="21"/>
                <w:bdr w:val="none" w:color="auto" w:sz="0" w:space="0"/>
              </w:rPr>
              <w:t>1：2</w:t>
            </w:r>
          </w:p>
        </w:tc>
        <w:tc>
          <w:tcPr>
            <w:tcW w:w="168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rPr>
                <w:rFonts w:hint="eastAsia" w:ascii="宋体"/>
                <w:sz w:val="19"/>
                <w:szCs w:val="19"/>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rPr>
          <w:sz w:val="19"/>
          <w:szCs w:val="19"/>
        </w:rPr>
      </w:pPr>
      <w:r>
        <w:rPr>
          <w:rFonts w:hint="eastAsia" w:ascii="仿宋" w:hAnsi="仿宋" w:eastAsia="仿宋" w:cs="仿宋"/>
          <w:b/>
          <w:bCs/>
          <w:i w:val="0"/>
          <w:iCs w:val="0"/>
          <w:caps w:val="0"/>
          <w:color w:val="000000"/>
          <w:spacing w:val="-4"/>
          <w:sz w:val="30"/>
          <w:szCs w:val="30"/>
          <w:bdr w:val="none" w:color="auto" w:sz="0" w:space="0"/>
        </w:rPr>
        <w:t>二、调剂原则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按考生总成绩排序依次录取。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rPr>
          <w:sz w:val="19"/>
          <w:szCs w:val="19"/>
        </w:rPr>
      </w:pPr>
      <w:r>
        <w:rPr>
          <w:rFonts w:hint="eastAsia" w:ascii="仿宋" w:hAnsi="仿宋" w:eastAsia="仿宋" w:cs="仿宋"/>
          <w:b/>
          <w:bCs/>
          <w:i w:val="0"/>
          <w:iCs w:val="0"/>
          <w:caps w:val="0"/>
          <w:color w:val="000000"/>
          <w:spacing w:val="-4"/>
          <w:sz w:val="30"/>
          <w:szCs w:val="30"/>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（1）调剂开通时间：2023年4月6日 00：00-12：00；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2）调剂专业及基本要求：初试成绩符合第一志愿报考专业在A区的基本要求，且符合我校2023年招生简章中规定的调入专业的报考条件；调入旅游管理专业的考生第一志愿报考专业必须是国家教育部所确定的本科专业目录中的管理类专业，且初试科目成绩中必须包含有《高等数学（三）》的考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3）调剂遴选原则：根据初试成绩综合研判，择优遴选进入复试考试名单。研判内容包括初试成绩、初试及本科阶段的高数基础、本科院校的培养目标、本科学习期间的成绩及排名、本科阶段参加的社会工作与社会实践、本科阶段获奖情况、本科阶段考取的相关资格证书、本科阶段主修与本专业相关课程情况、思想道德品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rPr>
          <w:sz w:val="19"/>
          <w:szCs w:val="19"/>
        </w:rPr>
      </w:pPr>
      <w:r>
        <w:rPr>
          <w:rFonts w:hint="eastAsia" w:ascii="仿宋" w:hAnsi="仿宋" w:eastAsia="仿宋" w:cs="仿宋"/>
          <w:b/>
          <w:bCs/>
          <w:i w:val="0"/>
          <w:iCs w:val="0"/>
          <w:caps w:val="0"/>
          <w:color w:val="000000"/>
          <w:spacing w:val="-4"/>
          <w:sz w:val="30"/>
          <w:szCs w:val="30"/>
          <w:bdr w:val="none" w:color="auto" w:sz="0" w:space="0"/>
        </w:rPr>
        <w:t>四、复试需要提交的材料及提交时间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①《南昌大学2023年研究生招生思想政治品德考核表》（需提前审查盖章）。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②应届本科毕业生：完整注册后的学生证（高校教务部门颁发的学生证）；《教育部学籍在线验证报告》的打印件（网址：http://www.chsi.com.cn/xlcx/bgcx.jsp）；所在学校学籍管理部门公章的成绩证明；《全日制应届本科毕业生证明》（填写完毕后加盖学籍管理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③往届本科毕业生：本科毕业证书、学位证书原件；《教育部学历证书电子注册备案表》的打印件（网址：http://www.chsi.com. cn/xlcx/）；因毕业时间早而不能在线验证的，需提供教育部《中国高等教育学历认证报告》（网址：http://www.chsi.com.cn/xlrz/）。</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④同等学力考生：专科毕业证或本科结业证或成人高校应届本科生证明等。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⑤身份证复印件（正反面，注明研招复试资格审查用）。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以上材料入校时将查验原件，如有弄虚作假的情况，则取消录取资格。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学院通知具有调剂资格的考生于4月10日在南昌大学旅游学院进行报到。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学院在4月10日对考生材料进行审查核验，严把复试入口关。凡不符合规定者，不予复试。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rPr>
          <w:sz w:val="19"/>
          <w:szCs w:val="19"/>
        </w:rPr>
      </w:pPr>
      <w:r>
        <w:rPr>
          <w:rFonts w:hint="eastAsia" w:ascii="仿宋" w:hAnsi="仿宋" w:eastAsia="仿宋" w:cs="仿宋"/>
          <w:b/>
          <w:bCs/>
          <w:i w:val="0"/>
          <w:iCs w:val="0"/>
          <w:caps w:val="0"/>
          <w:color w:val="000000"/>
          <w:spacing w:val="-4"/>
          <w:sz w:val="30"/>
          <w:szCs w:val="30"/>
          <w:bdr w:val="none" w:color="auto" w:sz="0" w:space="0"/>
        </w:rPr>
        <w:t>五、复试要求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rPr>
          <w:sz w:val="19"/>
          <w:szCs w:val="19"/>
        </w:rPr>
      </w:pPr>
      <w:r>
        <w:rPr>
          <w:rFonts w:hint="eastAsia" w:ascii="仿宋" w:hAnsi="仿宋" w:eastAsia="仿宋" w:cs="仿宋"/>
          <w:b/>
          <w:bCs/>
          <w:i w:val="0"/>
          <w:iCs w:val="0"/>
          <w:caps w:val="0"/>
          <w:color w:val="000000"/>
          <w:spacing w:val="0"/>
          <w:sz w:val="28"/>
          <w:szCs w:val="28"/>
          <w:bdr w:val="none" w:color="auto" w:sz="0" w:space="0"/>
        </w:rPr>
        <w:t>1、复试时间安排：</w:t>
      </w:r>
      <w:r>
        <w:rPr>
          <w:rFonts w:hint="eastAsia" w:ascii="仿宋" w:hAnsi="仿宋" w:eastAsia="仿宋" w:cs="仿宋"/>
          <w:i w:val="0"/>
          <w:iCs w:val="0"/>
          <w:caps w:val="0"/>
          <w:color w:val="000000"/>
          <w:spacing w:val="0"/>
          <w:sz w:val="28"/>
          <w:szCs w:val="28"/>
          <w:bdr w:val="none" w:color="auto" w:sz="0" w:space="0"/>
        </w:rPr>
        <w:t>2023年4月10日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rPr>
          <w:sz w:val="19"/>
          <w:szCs w:val="19"/>
        </w:rPr>
      </w:pPr>
      <w:r>
        <w:rPr>
          <w:rFonts w:hint="eastAsia" w:ascii="仿宋" w:hAnsi="仿宋" w:eastAsia="仿宋" w:cs="仿宋"/>
          <w:b/>
          <w:bCs/>
          <w:i w:val="0"/>
          <w:iCs w:val="0"/>
          <w:caps w:val="0"/>
          <w:color w:val="000000"/>
          <w:spacing w:val="0"/>
          <w:sz w:val="28"/>
          <w:szCs w:val="28"/>
          <w:bdr w:val="none" w:color="auto" w:sz="0" w:space="0"/>
        </w:rPr>
        <w:t>2、复试形式：</w:t>
      </w:r>
      <w:r>
        <w:rPr>
          <w:rFonts w:hint="eastAsia" w:ascii="宋体" w:hAnsi="宋体" w:eastAsia="宋体" w:cs="宋体"/>
          <w:i w:val="0"/>
          <w:iCs w:val="0"/>
          <w:caps w:val="0"/>
          <w:color w:val="000000"/>
          <w:spacing w:val="0"/>
          <w:sz w:val="28"/>
          <w:szCs w:val="28"/>
          <w:bdr w:val="none" w:color="auto" w:sz="0" w:space="0"/>
        </w:rPr>
        <w:t>2</w:t>
      </w:r>
      <w:r>
        <w:rPr>
          <w:rFonts w:hint="eastAsia" w:ascii="仿宋" w:hAnsi="仿宋" w:eastAsia="仿宋" w:cs="仿宋"/>
          <w:i w:val="0"/>
          <w:iCs w:val="0"/>
          <w:caps w:val="0"/>
          <w:color w:val="000000"/>
          <w:spacing w:val="0"/>
          <w:sz w:val="28"/>
          <w:szCs w:val="28"/>
          <w:bdr w:val="none" w:color="auto" w:sz="0" w:space="0"/>
        </w:rPr>
        <w:t>023年硕士研究生复试全部采取线下复试形式。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70"/>
        <w:jc w:val="both"/>
        <w:rPr>
          <w:sz w:val="19"/>
          <w:szCs w:val="19"/>
        </w:rPr>
      </w:pPr>
      <w:r>
        <w:rPr>
          <w:rFonts w:hint="eastAsia" w:ascii="仿宋" w:hAnsi="仿宋" w:eastAsia="仿宋" w:cs="仿宋"/>
          <w:b/>
          <w:bCs/>
          <w:i w:val="0"/>
          <w:iCs w:val="0"/>
          <w:caps w:val="0"/>
          <w:color w:val="000000"/>
          <w:spacing w:val="0"/>
          <w:sz w:val="28"/>
          <w:szCs w:val="28"/>
          <w:bdr w:val="none" w:color="auto" w:sz="0" w:space="0"/>
        </w:rPr>
        <w:t>3、复试内容：</w:t>
      </w:r>
      <w:r>
        <w:rPr>
          <w:rFonts w:hint="eastAsia" w:ascii="仿宋" w:hAnsi="仿宋" w:eastAsia="仿宋" w:cs="仿宋"/>
          <w:i w:val="0"/>
          <w:iCs w:val="0"/>
          <w:caps w:val="0"/>
          <w:color w:val="000000"/>
          <w:spacing w:val="0"/>
          <w:sz w:val="28"/>
          <w:szCs w:val="28"/>
          <w:bdr w:val="none" w:color="auto" w:sz="0" w:space="0"/>
        </w:rPr>
        <w:t>复试阶段由学院统一组织，共考核三个科目，从科目一到科目三按顺序进行，任一科目不及格者不予录取。具体包括科目一：外国语听力与口语测试，时长5分钟，满分为50分；科目二：专业课笔试，时长150分钟，满分为100分，及格线为60分；科目三：专业素质综合面试，时长20分钟，满分为100分，及格线为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复试阶段专业课考核和同等学力考生加试科目以及所指定的参考教材等信息，在南昌大学2023年的招生专业目录中均已向考生公布。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同等学力的两门加试业务课，只设合格线（60分），分数不计入复试总成绩。不及格者不予录取。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rPr>
          <w:sz w:val="19"/>
          <w:szCs w:val="19"/>
        </w:rPr>
      </w:pPr>
      <w:r>
        <w:rPr>
          <w:rFonts w:hint="eastAsia" w:ascii="仿宋" w:hAnsi="仿宋" w:eastAsia="仿宋" w:cs="仿宋"/>
          <w:b/>
          <w:bCs/>
          <w:i w:val="0"/>
          <w:iCs w:val="0"/>
          <w:caps w:val="0"/>
          <w:color w:val="000000"/>
          <w:spacing w:val="-4"/>
          <w:sz w:val="30"/>
          <w:szCs w:val="30"/>
          <w:bdr w:val="none" w:color="auto" w:sz="0" w:space="0"/>
        </w:rPr>
        <w:t>六、复试成绩计算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70"/>
        <w:jc w:val="both"/>
        <w:rPr>
          <w:sz w:val="19"/>
          <w:szCs w:val="19"/>
        </w:rPr>
      </w:pPr>
      <w:r>
        <w:rPr>
          <w:rFonts w:hint="eastAsia" w:ascii="仿宋" w:hAnsi="仿宋" w:eastAsia="仿宋" w:cs="仿宋"/>
          <w:i w:val="0"/>
          <w:iCs w:val="0"/>
          <w:caps w:val="0"/>
          <w:color w:val="000000"/>
          <w:spacing w:val="0"/>
          <w:sz w:val="28"/>
          <w:szCs w:val="28"/>
          <w:bdr w:val="none" w:color="auto" w:sz="0" w:space="0"/>
        </w:rPr>
        <w:t>复试总成绩和加试成绩合格者，将复试总成绩和初试成绩按权重计算后相加，得出考生入学考试总成绩:（初试分数/初试总分值）*50+（复试总分/250）*50。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70"/>
        <w:jc w:val="both"/>
        <w:rPr>
          <w:sz w:val="19"/>
          <w:szCs w:val="19"/>
        </w:rPr>
      </w:pPr>
      <w:r>
        <w:rPr>
          <w:rFonts w:hint="eastAsia" w:ascii="仿宋" w:hAnsi="仿宋" w:eastAsia="仿宋" w:cs="仿宋"/>
          <w:i w:val="0"/>
          <w:iCs w:val="0"/>
          <w:caps w:val="0"/>
          <w:color w:val="000000"/>
          <w:spacing w:val="0"/>
          <w:sz w:val="28"/>
          <w:szCs w:val="28"/>
          <w:bdr w:val="none" w:color="auto" w:sz="0" w:space="0"/>
        </w:rPr>
        <w:t>注：初试总分值即考生初试各科目满分值相加。统考类初试总分值500，工商管理联考类初试总分值300。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rPr>
          <w:sz w:val="19"/>
          <w:szCs w:val="19"/>
        </w:rPr>
      </w:pPr>
      <w:r>
        <w:rPr>
          <w:rFonts w:hint="eastAsia" w:ascii="仿宋" w:hAnsi="仿宋" w:eastAsia="仿宋" w:cs="仿宋"/>
          <w:b/>
          <w:bCs/>
          <w:i w:val="0"/>
          <w:iCs w:val="0"/>
          <w:caps w:val="0"/>
          <w:color w:val="000000"/>
          <w:spacing w:val="-4"/>
          <w:sz w:val="30"/>
          <w:szCs w:val="30"/>
          <w:bdr w:val="none" w:color="auto" w:sz="0" w:space="0"/>
        </w:rPr>
        <w:t>七、其他事项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60"/>
        <w:jc w:val="both"/>
        <w:rPr>
          <w:sz w:val="19"/>
          <w:szCs w:val="19"/>
        </w:rPr>
      </w:pPr>
      <w:r>
        <w:rPr>
          <w:rFonts w:hint="eastAsia" w:ascii="仿宋" w:hAnsi="仿宋" w:eastAsia="仿宋" w:cs="仿宋"/>
          <w:i w:val="0"/>
          <w:iCs w:val="0"/>
          <w:caps w:val="0"/>
          <w:color w:val="000000"/>
          <w:spacing w:val="0"/>
          <w:sz w:val="28"/>
          <w:szCs w:val="28"/>
          <w:bdr w:val="none" w:color="auto" w:sz="0" w:space="0"/>
        </w:rPr>
        <w:t>咨询电话：0791-83969258，程老师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70"/>
        <w:jc w:val="both"/>
        <w:rPr>
          <w:sz w:val="19"/>
          <w:szCs w:val="19"/>
        </w:rPr>
      </w:pPr>
      <w:r>
        <w:rPr>
          <w:rFonts w:hint="eastAsia" w:ascii="宋体" w:hAnsi="宋体" w:eastAsia="宋体" w:cs="宋体"/>
          <w:i w:val="0"/>
          <w:iCs w:val="0"/>
          <w:caps w:val="0"/>
          <w:color w:val="000000"/>
          <w:spacing w:val="0"/>
          <w:sz w:val="28"/>
          <w:szCs w:val="28"/>
          <w:bdr w:val="none" w:color="auto" w:sz="0" w:space="0"/>
        </w:rPr>
        <w:t>0791-83967837</w:t>
      </w:r>
      <w:r>
        <w:rPr>
          <w:rFonts w:hint="eastAsia" w:ascii="仿宋" w:hAnsi="仿宋" w:eastAsia="仿宋" w:cs="仿宋"/>
          <w:i w:val="0"/>
          <w:iCs w:val="0"/>
          <w:caps w:val="0"/>
          <w:color w:val="000000"/>
          <w:spacing w:val="0"/>
          <w:sz w:val="28"/>
          <w:szCs w:val="28"/>
          <w:bdr w:val="none" w:color="auto" w:sz="0" w:space="0"/>
        </w:rPr>
        <w:t>，王老师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570"/>
        <w:jc w:val="both"/>
        <w:rPr>
          <w:sz w:val="19"/>
          <w:szCs w:val="19"/>
        </w:rPr>
      </w:pPr>
      <w:r>
        <w:rPr>
          <w:rFonts w:hint="eastAsia" w:ascii="仿宋" w:hAnsi="仿宋" w:eastAsia="仿宋" w:cs="仿宋"/>
          <w:i w:val="0"/>
          <w:iCs w:val="0"/>
          <w:caps w:val="0"/>
          <w:color w:val="000000"/>
          <w:spacing w:val="0"/>
          <w:sz w:val="28"/>
          <w:szCs w:val="28"/>
          <w:bdr w:val="none" w:color="auto" w:sz="0" w:space="0"/>
        </w:rPr>
        <w:t>监督邮箱：lyxy@ncu.edu.cn，李老师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jc w:val="right"/>
        <w:rPr>
          <w:sz w:val="19"/>
          <w:szCs w:val="19"/>
        </w:rPr>
      </w:pPr>
      <w:r>
        <w:rPr>
          <w:rFonts w:hint="eastAsia" w:ascii="仿宋" w:hAnsi="仿宋" w:eastAsia="仿宋" w:cs="仿宋"/>
          <w:i w:val="0"/>
          <w:iCs w:val="0"/>
          <w:caps w:val="0"/>
          <w:color w:val="000000"/>
          <w:spacing w:val="0"/>
          <w:sz w:val="28"/>
          <w:szCs w:val="28"/>
          <w:bdr w:val="none" w:color="auto" w:sz="0" w:space="0"/>
        </w:rPr>
        <w:t>南昌大学旅游学院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40" w:lineRule="atLeast"/>
        <w:ind w:left="0" w:right="0" w:firstLine="420"/>
        <w:jc w:val="right"/>
        <w:rPr>
          <w:sz w:val="19"/>
          <w:szCs w:val="19"/>
        </w:rPr>
      </w:pPr>
      <w:r>
        <w:rPr>
          <w:rFonts w:hint="eastAsia" w:ascii="仿宋" w:hAnsi="仿宋" w:eastAsia="仿宋" w:cs="仿宋"/>
          <w:i w:val="0"/>
          <w:iCs w:val="0"/>
          <w:caps w:val="0"/>
          <w:color w:val="000000"/>
          <w:spacing w:val="0"/>
          <w:sz w:val="28"/>
          <w:szCs w:val="28"/>
          <w:bdr w:val="none" w:color="auto" w:sz="0" w:space="0"/>
        </w:rPr>
        <w:t>2023年4月1日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CCB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2023-05-03T11:49:37Z</dcterms:created>
  <dc:creator>DELL</dc:creator>
  <cp:lastModifiedBy>曾经的那个老吴</cp:lastModifiedBy>
  <dcterms:modified xsi:type="dcterms:W3CDTF">2023-05-03T11:49:39Z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FEECE0D386664EEEBDB041B9F1934875_12</vt:lpwstr>
  </property>
</Properties>
</file>