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caps w:val="0"/>
          <w:color w:val="D5423B"/>
          <w:spacing w:val="0"/>
          <w:sz w:val="33"/>
          <w:szCs w:val="33"/>
        </w:rPr>
      </w:pPr>
      <w:r>
        <w:rPr>
          <w:rFonts w:hint="eastAsia" w:ascii="微软雅黑" w:hAnsi="微软雅黑" w:eastAsia="微软雅黑" w:cs="微软雅黑"/>
          <w:caps w:val="0"/>
          <w:color w:val="D5423B"/>
          <w:spacing w:val="0"/>
          <w:sz w:val="33"/>
          <w:szCs w:val="33"/>
          <w:bdr w:val="none" w:color="auto" w:sz="0" w:space="0"/>
          <w:shd w:val="clear" w:fill="FFFFFF"/>
        </w:rPr>
        <w:t>南昌航空大学数学与信息科学学院2023年硕士研究生调剂公告</w:t>
      </w:r>
    </w:p>
    <w:p>
      <w:pPr>
        <w:keepNext w:val="0"/>
        <w:keepLines w:val="0"/>
        <w:widowControl/>
        <w:suppressLineNumbers w:val="0"/>
        <w:pBdr>
          <w:top w:val="none" w:color="auto" w:sz="0" w:space="0"/>
          <w:left w:val="none" w:color="auto" w:sz="0" w:space="0"/>
          <w:bottom w:val="dashed" w:color="D2D2D2" w:sz="4" w:space="0"/>
          <w:right w:val="none" w:color="auto" w:sz="0" w:space="0"/>
        </w:pBdr>
        <w:shd w:val="clear" w:fill="FFFFFF"/>
        <w:spacing w:before="240" w:beforeAutospacing="0" w:after="240" w:afterAutospacing="0" w:line="360" w:lineRule="atLeast"/>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bdr w:val="none" w:color="auto" w:sz="0" w:space="0"/>
          <w:shd w:val="clear" w:fill="FFFFFF"/>
          <w:lang w:val="en-US" w:eastAsia="zh-CN" w:bidi="ar"/>
        </w:rPr>
        <w:t>来源： 发布时间：2023-04-04 21:55:05 浏览次数：229 次 【字体：</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instrText xml:space="preserve"> HYPERLINK "javascript:;" </w:instrTex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333333"/>
          <w:spacing w:val="0"/>
          <w:sz w:val="14"/>
          <w:szCs w:val="14"/>
          <w:u w:val="none"/>
          <w:bdr w:val="none" w:color="auto" w:sz="0" w:space="0"/>
          <w:shd w:val="clear" w:fill="FFFFFF"/>
        </w:rPr>
        <w:t>小</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14"/>
          <w:szCs w:val="14"/>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instrText xml:space="preserve"> HYPERLINK "javascript:;" </w:instrTex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333333"/>
          <w:spacing w:val="0"/>
          <w:sz w:val="14"/>
          <w:szCs w:val="14"/>
          <w:u w:val="none"/>
          <w:bdr w:val="none" w:color="auto" w:sz="0" w:space="0"/>
          <w:shd w:val="clear" w:fill="FFFFFF"/>
        </w:rPr>
        <w:t>大</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14"/>
          <w:szCs w:val="14"/>
          <w:bdr w:val="none" w:color="auto" w:sz="0" w:space="0"/>
          <w:shd w:val="clear" w:fill="FFFFFF"/>
          <w:lang w:val="en-US" w:eastAsia="zh-CN" w:bidi="ar"/>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600" w:lineRule="atLeast"/>
        <w:ind w:left="0" w:right="0"/>
        <w:jc w:val="center"/>
        <w:rPr>
          <w:rFonts w:ascii="仿宋" w:hAnsi="仿宋" w:eastAsia="仿宋" w:cs="仿宋"/>
          <w:b w:val="0"/>
          <w:bCs w:val="0"/>
          <w:sz w:val="24"/>
          <w:szCs w:val="24"/>
        </w:rPr>
      </w:pPr>
      <w:r>
        <w:rPr>
          <w:rFonts w:hint="eastAsia" w:ascii="仿宋" w:hAnsi="仿宋" w:eastAsia="仿宋" w:cs="仿宋"/>
          <w:b w:val="0"/>
          <w:bCs w:val="0"/>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firstLine="634"/>
        <w:jc w:val="left"/>
        <w:rPr>
          <w:rFonts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根据教育部公布的《2023年全国硕士研究生招生考试考生进入复试的初试成绩基本要求》和我院一志愿上线录取情况，我院数学类专业拥有调剂名额。实际调剂专业和名额以“全国硕士研究生招生调剂服务系统”公布为准。热忱欢迎全国各地优秀考生调剂到我院继续深造。为方便考生调剂，现将我院调剂的有关信息说明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left"/>
        <w:rPr>
          <w:rFonts w:ascii="楷体_GB2312" w:eastAsia="楷体_GB2312" w:cs="楷体_GB2312"/>
          <w:sz w:val="32"/>
          <w:szCs w:val="32"/>
        </w:rPr>
      </w:pPr>
      <w:r>
        <w:rPr>
          <w:rFonts w:hint="default" w:ascii="楷体_GB2312" w:hAnsi="微软雅黑" w:eastAsia="楷体_GB2312" w:cs="楷体_GB2312"/>
          <w:b/>
          <w:bCs/>
          <w:i w:val="0"/>
          <w:iCs w:val="0"/>
          <w:caps w:val="0"/>
          <w:color w:val="333333"/>
          <w:spacing w:val="0"/>
          <w:sz w:val="32"/>
          <w:szCs w:val="32"/>
          <w:bdr w:val="none" w:color="auto" w:sz="0" w:space="0"/>
          <w:shd w:val="clear" w:fill="FFFFFF"/>
          <w:lang w:eastAsia="zh-CN"/>
        </w:rPr>
        <w:t>一、拟接收调剂专业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   </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460"/>
        <w:gridCol w:w="2460"/>
        <w:gridCol w:w="24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90" w:hRule="atLeast"/>
          <w:jc w:val="center"/>
        </w:trPr>
        <w:tc>
          <w:tcPr>
            <w:tcW w:w="2460"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333333"/>
                <w:sz w:val="32"/>
                <w:szCs w:val="32"/>
                <w:bdr w:val="none" w:color="auto" w:sz="0" w:space="0"/>
                <w:shd w:val="clear" w:fill="FFFFFF"/>
                <w:lang w:eastAsia="zh-CN"/>
              </w:rPr>
              <w:t>专业代码</w:t>
            </w:r>
          </w:p>
        </w:tc>
        <w:tc>
          <w:tcPr>
            <w:tcW w:w="2460"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333333"/>
                <w:sz w:val="32"/>
                <w:szCs w:val="32"/>
                <w:bdr w:val="none" w:color="auto" w:sz="0" w:space="0"/>
                <w:shd w:val="clear" w:fill="FFFFFF"/>
                <w:lang w:eastAsia="zh-CN"/>
              </w:rPr>
              <w:t>专业名称</w:t>
            </w:r>
          </w:p>
        </w:tc>
        <w:tc>
          <w:tcPr>
            <w:tcW w:w="2460"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333333"/>
                <w:sz w:val="32"/>
                <w:szCs w:val="32"/>
                <w:bdr w:val="none" w:color="auto" w:sz="0" w:space="0"/>
                <w:shd w:val="clear" w:fill="FFFFFF"/>
                <w:lang w:eastAsia="zh-CN"/>
              </w:rPr>
              <w:t>学习方式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90" w:hRule="atLeast"/>
          <w:jc w:val="center"/>
        </w:trPr>
        <w:tc>
          <w:tcPr>
            <w:tcW w:w="246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333333"/>
                <w:sz w:val="32"/>
                <w:szCs w:val="32"/>
                <w:bdr w:val="none" w:color="auto" w:sz="0" w:space="0"/>
                <w:shd w:val="clear" w:fill="FFFFFF"/>
              </w:rPr>
              <w:t>070100</w:t>
            </w:r>
          </w:p>
        </w:tc>
        <w:tc>
          <w:tcPr>
            <w:tcW w:w="246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333333"/>
                <w:sz w:val="32"/>
                <w:szCs w:val="32"/>
                <w:bdr w:val="none" w:color="auto" w:sz="0" w:space="0"/>
                <w:shd w:val="clear" w:fill="FFFFFF"/>
                <w:lang w:eastAsia="zh-CN"/>
              </w:rPr>
              <w:t>数学</w:t>
            </w:r>
          </w:p>
        </w:tc>
        <w:tc>
          <w:tcPr>
            <w:tcW w:w="246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333333"/>
                <w:sz w:val="32"/>
                <w:szCs w:val="32"/>
                <w:bdr w:val="none" w:color="auto" w:sz="0" w:space="0"/>
                <w:shd w:val="clear" w:fill="FFFFFF"/>
                <w:lang w:eastAsia="zh-CN"/>
              </w:rPr>
              <w:t>全日制</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left"/>
        <w:rPr>
          <w:rFonts w:hint="default" w:ascii="楷体_GB2312" w:eastAsia="楷体_GB2312" w:cs="楷体_GB2312"/>
          <w:sz w:val="32"/>
          <w:szCs w:val="32"/>
        </w:rPr>
      </w:pPr>
      <w:r>
        <w:rPr>
          <w:rFonts w:hint="default" w:ascii="楷体_GB2312" w:hAnsi="微软雅黑" w:eastAsia="楷体_GB2312" w:cs="楷体_GB2312"/>
          <w:b/>
          <w:bCs/>
          <w:i w:val="0"/>
          <w:iCs w:val="0"/>
          <w:caps w:val="0"/>
          <w:color w:val="333333"/>
          <w:spacing w:val="0"/>
          <w:sz w:val="32"/>
          <w:szCs w:val="32"/>
          <w:bdr w:val="none" w:color="auto" w:sz="0" w:space="0"/>
          <w:shd w:val="clear" w:fill="FFFFFF"/>
          <w:lang w:eastAsia="zh-CN"/>
        </w:rPr>
        <w:t>二、接收调剂要求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（一）初试成绩要求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初试成绩总分且单科分均必须达到《2023年全国硕士研究生招生考试考生进入复试的初试成绩基本要求》国家分数线（A类考生）以及我院确定的调入专业最低复试分数线。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（二）专业要求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left"/>
        <w:rPr>
          <w:rFonts w:hint="eastAsia" w:ascii="仿宋" w:hAnsi="仿宋" w:eastAsia="仿宋" w:cs="仿宋"/>
          <w:sz w:val="32"/>
          <w:szCs w:val="32"/>
        </w:rPr>
      </w:pPr>
      <w:r>
        <w:rPr>
          <w:rFonts w:ascii="Calibri" w:hAnsi="Calibri" w:eastAsia="仿宋" w:cs="Calibri"/>
          <w:b w:val="0"/>
          <w:bCs w:val="0"/>
          <w:i w:val="0"/>
          <w:iCs w:val="0"/>
          <w:caps w:val="0"/>
          <w:color w:val="333333"/>
          <w:spacing w:val="0"/>
          <w:sz w:val="32"/>
          <w:szCs w:val="32"/>
          <w:bdr w:val="none" w:color="auto" w:sz="0" w:space="0"/>
          <w:shd w:val="clear" w:fill="FFFFFF"/>
        </w:rPr>
        <w:t> </w:t>
      </w:r>
      <w:r>
        <w:rPr>
          <w:rFonts w:hint="default" w:ascii="仿宋_GB2312" w:hAnsi="仿宋" w:eastAsia="仿宋_GB2312" w:cs="仿宋_GB2312"/>
          <w:b w:val="0"/>
          <w:bCs w:val="0"/>
          <w:i w:val="0"/>
          <w:iCs w:val="0"/>
          <w:caps w:val="0"/>
          <w:color w:val="333333"/>
          <w:spacing w:val="0"/>
          <w:sz w:val="32"/>
          <w:szCs w:val="32"/>
          <w:bdr w:val="none" w:color="auto" w:sz="0" w:space="0"/>
          <w:shd w:val="clear" w:fill="FFFFFF"/>
          <w:lang w:eastAsia="zh-CN"/>
        </w:rPr>
        <w:t>第一志愿报考专业与调入专业相同或相近，应在同一学科门类范围内（不能跨学科门类，即调入专业代码与第一志愿报考专业代码前两位须相同）。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left"/>
        <w:rPr>
          <w:rFonts w:hint="default" w:ascii="楷体_GB2312" w:eastAsia="楷体_GB2312" w:cs="楷体_GB2312"/>
          <w:sz w:val="32"/>
          <w:szCs w:val="32"/>
        </w:rPr>
      </w:pPr>
      <w:r>
        <w:rPr>
          <w:rFonts w:hint="default" w:ascii="楷体_GB2312" w:hAnsi="微软雅黑" w:eastAsia="楷体_GB2312" w:cs="楷体_GB2312"/>
          <w:b/>
          <w:bCs/>
          <w:i w:val="0"/>
          <w:iCs w:val="0"/>
          <w:caps w:val="0"/>
          <w:color w:val="333333"/>
          <w:spacing w:val="0"/>
          <w:sz w:val="32"/>
          <w:szCs w:val="32"/>
          <w:bdr w:val="none" w:color="auto" w:sz="0" w:space="0"/>
          <w:shd w:val="clear" w:fill="FFFFFF"/>
          <w:lang w:eastAsia="zh-CN"/>
        </w:rPr>
        <w:t>三、预调剂基本程序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（一）第一阶段：调剂预登记(调剂系统开通前)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1.全国硕士研究生招生调剂服务系统”开通前，请有调剂意向的考生可联系我院咨询调剂情况。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2.预调剂登记后，提供个人相关材料：个人简历（含考研报考学校、初试成绩等信息）、本科期间成绩单、毕业证书及学位证书、获奖证书、反映考生英语水平的成绩证明或证书、在公开发行的学术刊物或全国性学术会议上发表的学术论文、所获专利、科研成果及其它原创性工作成果的证明、专家推荐信等材料扫描件打包发邮件到71037@nchu.edu.cn（邮件名以“姓名+初试成绩总分+本科学校+本科专业”命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left"/>
        <w:rPr>
          <w:rFonts w:hint="eastAsia" w:ascii="仿宋" w:hAnsi="仿宋" w:eastAsia="仿宋" w:cs="仿宋"/>
          <w:sz w:val="32"/>
          <w:szCs w:val="32"/>
        </w:rPr>
      </w:pPr>
      <w:r>
        <w:rPr>
          <w:rFonts w:hint="default" w:ascii="Calibri" w:hAnsi="Calibri" w:eastAsia="仿宋" w:cs="Calibri"/>
          <w:b w:val="0"/>
          <w:bCs w:val="0"/>
          <w:i w:val="0"/>
          <w:iCs w:val="0"/>
          <w:caps w:val="0"/>
          <w:color w:val="333333"/>
          <w:spacing w:val="0"/>
          <w:sz w:val="32"/>
          <w:szCs w:val="32"/>
          <w:bdr w:val="none" w:color="auto" w:sz="0" w:space="0"/>
          <w:shd w:val="clear" w:fill="FFFFFF"/>
        </w:rPr>
        <w:t> </w:t>
      </w:r>
      <w:r>
        <w:rPr>
          <w:rFonts w:hint="default" w:ascii="仿宋_GB2312" w:hAnsi="仿宋" w:eastAsia="仿宋_GB2312" w:cs="仿宋_GB2312"/>
          <w:b w:val="0"/>
          <w:bCs w:val="0"/>
          <w:i w:val="0"/>
          <w:iCs w:val="0"/>
          <w:caps w:val="0"/>
          <w:color w:val="333333"/>
          <w:spacing w:val="0"/>
          <w:sz w:val="32"/>
          <w:szCs w:val="32"/>
          <w:bdr w:val="none" w:color="auto" w:sz="0" w:space="0"/>
          <w:shd w:val="clear" w:fill="FFFFFF"/>
          <w:lang w:eastAsia="zh-CN"/>
        </w:rPr>
        <w:t>联系人及联系电话：</w:t>
      </w:r>
      <w:r>
        <w:rPr>
          <w:rFonts w:hint="default" w:ascii="Calibri" w:hAnsi="Calibri" w:eastAsia="仿宋" w:cs="Calibri"/>
          <w:b w:val="0"/>
          <w:bCs w:val="0"/>
          <w:i w:val="0"/>
          <w:iCs w:val="0"/>
          <w:caps w:val="0"/>
          <w:color w:val="333333"/>
          <w:spacing w:val="0"/>
          <w:sz w:val="32"/>
          <w:szCs w:val="3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宋老师0791-83863158；谢老师：0791-83863521。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南昌航空大学研究生院官网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我院研究生导师介绍，请查阅南昌航空大学数学与信息科学学院官网。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（二）第二阶段：正式调剂(调剂系统开通后)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left"/>
        <w:rPr>
          <w:rFonts w:hint="eastAsia" w:ascii="仿宋" w:hAnsi="仿宋" w:eastAsia="仿宋" w:cs="仿宋"/>
          <w:sz w:val="32"/>
          <w:szCs w:val="32"/>
        </w:rPr>
      </w:pPr>
      <w:r>
        <w:rPr>
          <w:rFonts w:hint="default" w:ascii="Calibri" w:hAnsi="Calibri" w:eastAsia="仿宋" w:cs="Calibri"/>
          <w:b w:val="0"/>
          <w:bCs w:val="0"/>
          <w:i w:val="0"/>
          <w:iCs w:val="0"/>
          <w:caps w:val="0"/>
          <w:color w:val="333333"/>
          <w:spacing w:val="0"/>
          <w:sz w:val="32"/>
          <w:szCs w:val="32"/>
          <w:bdr w:val="none" w:color="auto" w:sz="0" w:space="0"/>
          <w:shd w:val="clear" w:fill="FFFFFF"/>
        </w:rPr>
        <w:t> </w:t>
      </w:r>
      <w:r>
        <w:rPr>
          <w:rFonts w:hint="default" w:ascii="仿宋_GB2312" w:hAnsi="仿宋" w:eastAsia="仿宋_GB2312" w:cs="仿宋_GB2312"/>
          <w:b w:val="0"/>
          <w:bCs w:val="0"/>
          <w:i w:val="0"/>
          <w:iCs w:val="0"/>
          <w:caps w:val="0"/>
          <w:color w:val="333333"/>
          <w:spacing w:val="0"/>
          <w:sz w:val="32"/>
          <w:szCs w:val="32"/>
          <w:bdr w:val="none" w:color="auto" w:sz="0" w:space="0"/>
          <w:shd w:val="clear" w:fill="FFFFFF"/>
          <w:lang w:eastAsia="zh-CN"/>
        </w:rPr>
        <w:t>1.“全国硕士研究生招生调剂服务系统”开通后，所有申请调剂考生登录中国研究生招生信息网(yz.chsi.com.cn)凭本人帐号和密码进入调剂系统，及时按要求填报调剂志愿。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left"/>
        <w:rPr>
          <w:rFonts w:hint="eastAsia" w:ascii="仿宋" w:hAnsi="仿宋" w:eastAsia="仿宋" w:cs="仿宋"/>
          <w:sz w:val="32"/>
          <w:szCs w:val="32"/>
        </w:rPr>
      </w:pPr>
      <w:r>
        <w:rPr>
          <w:rFonts w:hint="default" w:ascii="Calibri" w:hAnsi="Calibri" w:eastAsia="仿宋" w:cs="Calibri"/>
          <w:b w:val="0"/>
          <w:bCs w:val="0"/>
          <w:i w:val="0"/>
          <w:iCs w:val="0"/>
          <w:caps w:val="0"/>
          <w:color w:val="333333"/>
          <w:spacing w:val="0"/>
          <w:sz w:val="32"/>
          <w:szCs w:val="32"/>
          <w:bdr w:val="none" w:color="auto" w:sz="0" w:space="0"/>
          <w:shd w:val="clear" w:fill="FFFFFF"/>
        </w:rPr>
        <w:t> </w:t>
      </w:r>
      <w:r>
        <w:rPr>
          <w:rFonts w:hint="default" w:ascii="仿宋_GB2312" w:hAnsi="仿宋" w:eastAsia="仿宋_GB2312" w:cs="仿宋_GB2312"/>
          <w:b w:val="0"/>
          <w:bCs w:val="0"/>
          <w:i w:val="0"/>
          <w:iCs w:val="0"/>
          <w:caps w:val="0"/>
          <w:color w:val="333333"/>
          <w:spacing w:val="0"/>
          <w:sz w:val="32"/>
          <w:szCs w:val="32"/>
          <w:bdr w:val="none" w:color="auto" w:sz="0" w:space="0"/>
          <w:shd w:val="clear" w:fill="FFFFFF"/>
          <w:lang w:eastAsia="zh-CN"/>
        </w:rPr>
        <w:t>2.在调剂服务系统关闭后，我院将会于24小时内根据初试分数、个人提供的材料和预调剂登记情况来确定是否接收调剂。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left"/>
        <w:rPr>
          <w:rFonts w:hint="eastAsia" w:ascii="仿宋" w:hAnsi="仿宋" w:eastAsia="仿宋" w:cs="仿宋"/>
          <w:sz w:val="32"/>
          <w:szCs w:val="32"/>
        </w:rPr>
      </w:pPr>
      <w:r>
        <w:rPr>
          <w:rFonts w:hint="default" w:ascii="Calibri" w:hAnsi="Calibri" w:eastAsia="仿宋" w:cs="Calibri"/>
          <w:b w:val="0"/>
          <w:bCs w:val="0"/>
          <w:i w:val="0"/>
          <w:iCs w:val="0"/>
          <w:caps w:val="0"/>
          <w:color w:val="333333"/>
          <w:spacing w:val="0"/>
          <w:sz w:val="32"/>
          <w:szCs w:val="32"/>
          <w:bdr w:val="none" w:color="auto" w:sz="0" w:space="0"/>
          <w:shd w:val="clear" w:fill="FFFFFF"/>
        </w:rPr>
        <w:t> </w:t>
      </w:r>
      <w:r>
        <w:rPr>
          <w:rFonts w:hint="default" w:ascii="仿宋_GB2312" w:hAnsi="仿宋" w:eastAsia="仿宋_GB2312" w:cs="仿宋_GB2312"/>
          <w:b w:val="0"/>
          <w:bCs w:val="0"/>
          <w:i w:val="0"/>
          <w:iCs w:val="0"/>
          <w:caps w:val="0"/>
          <w:color w:val="333333"/>
          <w:spacing w:val="0"/>
          <w:sz w:val="32"/>
          <w:szCs w:val="32"/>
          <w:bdr w:val="none" w:color="auto" w:sz="0" w:space="0"/>
          <w:shd w:val="clear" w:fill="FFFFFF"/>
          <w:lang w:eastAsia="zh-CN"/>
        </w:rPr>
        <w:t>3.我院同意接收后，考生应于24小时内，重新登陆中国研究生招生信息网进入调剂系统，确认同意参加我院调剂复试，此时考生进入待录取状态，不能更改调剂学校。接受我院复试通知的考生应在学院规定时间内参加复试，未能在规定时间内参加复试者视为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FF0000"/>
          <w:spacing w:val="0"/>
          <w:sz w:val="32"/>
          <w:szCs w:val="3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jc w:val="both"/>
        <w:rPr>
          <w:rFonts w:hint="default" w:ascii="楷体_GB2312" w:eastAsia="楷体_GB2312" w:cs="楷体_GB2312"/>
          <w:sz w:val="32"/>
          <w:szCs w:val="32"/>
        </w:rPr>
      </w:pPr>
      <w:r>
        <w:rPr>
          <w:rFonts w:hint="default" w:ascii="楷体_GB2312" w:hAnsi="微软雅黑" w:eastAsia="楷体_GB2312" w:cs="楷体_GB2312"/>
          <w:b/>
          <w:bCs/>
          <w:i w:val="0"/>
          <w:iCs w:val="0"/>
          <w:caps w:val="0"/>
          <w:color w:val="333333"/>
          <w:spacing w:val="0"/>
          <w:sz w:val="32"/>
          <w:szCs w:val="32"/>
          <w:bdr w:val="none" w:color="auto" w:sz="0" w:space="0"/>
          <w:shd w:val="clear" w:fill="FFFFFF"/>
          <w:lang w:eastAsia="zh-CN"/>
        </w:rPr>
        <w:t>四、学费及奖励资助政策（实际发放以学校有关奖助文件为准）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据国家文件要求，</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从2014年起，所有纳入全国研究生招生计划的新入学研究生均须缴纳学费，我校全日制学术学位类硕士研究生的学费标准均为：8000元/人·年。同时，学校加大研究生奖助力度，建立和完善研究生奖助政策体系，实现研究生奖助的全覆盖，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 </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525"/>
        <w:gridCol w:w="3893"/>
        <w:gridCol w:w="1816"/>
        <w:gridCol w:w="12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31" w:hRule="atLeast"/>
          <w:jc w:val="center"/>
        </w:trPr>
        <w:tc>
          <w:tcPr>
            <w:tcW w:w="158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bCs/>
                <w:i w:val="0"/>
                <w:iCs w:val="0"/>
                <w:color w:val="000000"/>
                <w:sz w:val="32"/>
                <w:szCs w:val="32"/>
                <w:bdr w:val="none" w:color="auto" w:sz="0" w:space="0"/>
                <w:lang w:eastAsia="zh-CN"/>
              </w:rPr>
              <w:t>奖项名称</w:t>
            </w:r>
          </w:p>
        </w:tc>
        <w:tc>
          <w:tcPr>
            <w:tcW w:w="417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bCs/>
                <w:i w:val="0"/>
                <w:iCs w:val="0"/>
                <w:color w:val="000000"/>
                <w:sz w:val="32"/>
                <w:szCs w:val="32"/>
                <w:bdr w:val="none" w:color="auto" w:sz="0" w:space="0"/>
                <w:lang w:eastAsia="zh-CN"/>
              </w:rPr>
              <w:t>设置对象</w:t>
            </w:r>
          </w:p>
        </w:tc>
        <w:tc>
          <w:tcPr>
            <w:tcW w:w="1426"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bCs/>
                <w:i w:val="0"/>
                <w:iCs w:val="0"/>
                <w:color w:val="000000"/>
                <w:sz w:val="32"/>
                <w:szCs w:val="32"/>
                <w:bdr w:val="none" w:color="auto" w:sz="0" w:space="0"/>
                <w:lang w:eastAsia="zh-CN"/>
              </w:rPr>
              <w:t>金额标准</w:t>
            </w:r>
          </w:p>
        </w:tc>
        <w:tc>
          <w:tcPr>
            <w:tcW w:w="132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bCs/>
                <w:i w:val="0"/>
                <w:iCs w:val="0"/>
                <w:color w:val="000000"/>
                <w:sz w:val="32"/>
                <w:szCs w:val="32"/>
                <w:bdr w:val="none" w:color="auto" w:sz="0" w:space="0"/>
                <w:lang w:eastAsia="zh-CN"/>
              </w:rPr>
              <w:t>获奖比例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936" w:hRule="atLeast"/>
          <w:jc w:val="center"/>
        </w:trPr>
        <w:tc>
          <w:tcPr>
            <w:tcW w:w="158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新生奖学金</w:t>
            </w:r>
          </w:p>
        </w:tc>
        <w:tc>
          <w:tcPr>
            <w:tcW w:w="417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left"/>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实际发放以学校有关奖助学金文件为准。</w:t>
            </w:r>
          </w:p>
        </w:tc>
        <w:tc>
          <w:tcPr>
            <w:tcW w:w="1426"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4000-10000元/生</w:t>
            </w:r>
          </w:p>
        </w:tc>
        <w:tc>
          <w:tcPr>
            <w:tcW w:w="132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48" w:hRule="atLeast"/>
          <w:jc w:val="center"/>
        </w:trPr>
        <w:tc>
          <w:tcPr>
            <w:tcW w:w="158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国家奖学金</w:t>
            </w:r>
          </w:p>
        </w:tc>
        <w:tc>
          <w:tcPr>
            <w:tcW w:w="417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left"/>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全日制研究生均可纳入评选范围。</w:t>
            </w:r>
          </w:p>
        </w:tc>
        <w:tc>
          <w:tcPr>
            <w:tcW w:w="1426"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20000元/年/生</w:t>
            </w:r>
          </w:p>
        </w:tc>
        <w:tc>
          <w:tcPr>
            <w:tcW w:w="132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省教育厅下达计划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48" w:hRule="atLeast"/>
          <w:jc w:val="center"/>
        </w:trPr>
        <w:tc>
          <w:tcPr>
            <w:tcW w:w="158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江西省政府奖学金</w:t>
            </w:r>
          </w:p>
        </w:tc>
        <w:tc>
          <w:tcPr>
            <w:tcW w:w="417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left"/>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全日制研究生均可纳入评选范围。</w:t>
            </w:r>
          </w:p>
        </w:tc>
        <w:tc>
          <w:tcPr>
            <w:tcW w:w="1426"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10000元/年/生</w:t>
            </w:r>
          </w:p>
        </w:tc>
        <w:tc>
          <w:tcPr>
            <w:tcW w:w="132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省教育厅下达计划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48" w:hRule="atLeast"/>
          <w:jc w:val="center"/>
        </w:trPr>
        <w:tc>
          <w:tcPr>
            <w:tcW w:w="158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学业奖学金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（一等）</w:t>
            </w:r>
          </w:p>
        </w:tc>
        <w:tc>
          <w:tcPr>
            <w:tcW w:w="4175"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left"/>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纳入全国研究生招生计划的具有中国国籍的全日制研究生。实际发放标准以学校有关奖励文件为准。</w:t>
            </w:r>
          </w:p>
        </w:tc>
        <w:tc>
          <w:tcPr>
            <w:tcW w:w="1426"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10000元/年/生</w:t>
            </w:r>
          </w:p>
        </w:tc>
        <w:tc>
          <w:tcPr>
            <w:tcW w:w="132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48" w:hRule="atLeast"/>
          <w:jc w:val="center"/>
        </w:trPr>
        <w:tc>
          <w:tcPr>
            <w:tcW w:w="158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学业奖学金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（二等）</w:t>
            </w:r>
          </w:p>
        </w:tc>
        <w:tc>
          <w:tcPr>
            <w:tcW w:w="417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rPr>
                <w:rFonts w:hint="eastAsia" w:ascii="宋体"/>
                <w:sz w:val="24"/>
                <w:szCs w:val="24"/>
              </w:rPr>
            </w:pPr>
          </w:p>
        </w:tc>
        <w:tc>
          <w:tcPr>
            <w:tcW w:w="1426"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8000元/年/生</w:t>
            </w:r>
          </w:p>
        </w:tc>
        <w:tc>
          <w:tcPr>
            <w:tcW w:w="132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48" w:hRule="atLeast"/>
          <w:jc w:val="center"/>
        </w:trPr>
        <w:tc>
          <w:tcPr>
            <w:tcW w:w="158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学业奖学金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（三等）</w:t>
            </w:r>
          </w:p>
        </w:tc>
        <w:tc>
          <w:tcPr>
            <w:tcW w:w="417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rPr>
                <w:rFonts w:hint="eastAsia" w:ascii="宋体"/>
                <w:sz w:val="24"/>
                <w:szCs w:val="24"/>
              </w:rPr>
            </w:pPr>
          </w:p>
        </w:tc>
        <w:tc>
          <w:tcPr>
            <w:tcW w:w="1426"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6000元/年/生</w:t>
            </w:r>
          </w:p>
        </w:tc>
        <w:tc>
          <w:tcPr>
            <w:tcW w:w="132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48" w:hRule="atLeast"/>
          <w:jc w:val="center"/>
        </w:trPr>
        <w:tc>
          <w:tcPr>
            <w:tcW w:w="158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国家助学金</w:t>
            </w:r>
          </w:p>
        </w:tc>
        <w:tc>
          <w:tcPr>
            <w:tcW w:w="417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left"/>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纳入全国研究生招生计划的具有中国国籍且人事档案到校的全日制研究生</w:t>
            </w:r>
          </w:p>
        </w:tc>
        <w:tc>
          <w:tcPr>
            <w:tcW w:w="1426"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6000元/年/生</w:t>
            </w:r>
          </w:p>
        </w:tc>
        <w:tc>
          <w:tcPr>
            <w:tcW w:w="132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979" w:hRule="atLeast"/>
          <w:jc w:val="center"/>
        </w:trPr>
        <w:tc>
          <w:tcPr>
            <w:tcW w:w="158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pPr>
            <w:r>
              <w:rPr>
                <w:rFonts w:hint="default" w:ascii="仿宋_GB2312" w:eastAsia="仿宋_GB2312" w:cs="仿宋_GB2312"/>
                <w:b w:val="0"/>
                <w:bCs w:val="0"/>
                <w:i w:val="0"/>
                <w:iCs w:val="0"/>
                <w:color w:val="000000"/>
                <w:sz w:val="32"/>
                <w:szCs w:val="32"/>
                <w:bdr w:val="none" w:color="auto" w:sz="0" w:space="0"/>
                <w:lang w:eastAsia="zh-CN"/>
              </w:rPr>
              <w:t>“三助一辅”</w:t>
            </w:r>
          </w:p>
        </w:tc>
        <w:tc>
          <w:tcPr>
            <w:tcW w:w="417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left"/>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学校还设有“三助一辅”（助管、助教、助研、兼职辅导员）岗位，为学生提供工作补贴；部分硕士生导师还为研究生提供较好的科研补助和高水平成果奖励。</w:t>
            </w:r>
          </w:p>
        </w:tc>
        <w:tc>
          <w:tcPr>
            <w:tcW w:w="1426"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4000-8000元/年/生</w:t>
            </w:r>
          </w:p>
        </w:tc>
        <w:tc>
          <w:tcPr>
            <w:tcW w:w="132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动态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994" w:hRule="atLeast"/>
          <w:jc w:val="center"/>
        </w:trPr>
        <w:tc>
          <w:tcPr>
            <w:tcW w:w="158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困难补助</w:t>
            </w:r>
          </w:p>
        </w:tc>
        <w:tc>
          <w:tcPr>
            <w:tcW w:w="417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left"/>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在校正常学籍，家庭或个人遭受重大变故的全日制研究生。</w:t>
            </w:r>
          </w:p>
        </w:tc>
        <w:tc>
          <w:tcPr>
            <w:tcW w:w="1426"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1000-5000元/年/生</w:t>
            </w:r>
          </w:p>
        </w:tc>
        <w:tc>
          <w:tcPr>
            <w:tcW w:w="132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210" w:afterAutospacing="0" w:line="316" w:lineRule="atLeast"/>
              <w:ind w:left="0" w:right="0"/>
              <w:jc w:val="center"/>
              <w:rPr>
                <w:rFonts w:hint="default" w:ascii="仿宋_GB2312" w:eastAsia="仿宋_GB2312" w:cs="仿宋_GB2312"/>
                <w:sz w:val="32"/>
                <w:szCs w:val="32"/>
              </w:rPr>
            </w:pPr>
            <w:r>
              <w:rPr>
                <w:rFonts w:hint="default" w:ascii="仿宋_GB2312" w:eastAsia="仿宋_GB2312" w:cs="仿宋_GB2312"/>
                <w:b w:val="0"/>
                <w:bCs w:val="0"/>
                <w:i w:val="0"/>
                <w:iCs w:val="0"/>
                <w:color w:val="000000"/>
                <w:sz w:val="32"/>
                <w:szCs w:val="32"/>
                <w:bdr w:val="none" w:color="auto" w:sz="0" w:space="0"/>
                <w:lang w:eastAsia="zh-CN"/>
              </w:rPr>
              <w:t>名额和金额视申请情况而定</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另外，还有众多社会企业和个人设立的各种励志奖学金，供学生申请。学校对特困家庭学生提供较好的专项资助。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276" w:lineRule="atLeast"/>
        <w:ind w:left="0" w:right="0"/>
        <w:jc w:val="left"/>
        <w:rPr>
          <w:rFonts w:hint="default" w:ascii="楷体_GB2312" w:eastAsia="楷体_GB2312" w:cs="楷体_GB2312"/>
          <w:sz w:val="32"/>
          <w:szCs w:val="32"/>
        </w:rPr>
      </w:pPr>
      <w:r>
        <w:rPr>
          <w:rFonts w:hint="default" w:ascii="楷体_GB2312" w:hAnsi="微软雅黑" w:eastAsia="楷体_GB2312" w:cs="楷体_GB2312"/>
          <w:b/>
          <w:bCs/>
          <w:i w:val="0"/>
          <w:iCs w:val="0"/>
          <w:caps w:val="0"/>
          <w:color w:val="333333"/>
          <w:spacing w:val="0"/>
          <w:sz w:val="32"/>
          <w:szCs w:val="32"/>
          <w:bdr w:val="none" w:color="auto" w:sz="0" w:space="0"/>
          <w:shd w:val="clear" w:fill="FFFFFF"/>
          <w:lang w:eastAsia="zh-CN"/>
        </w:rPr>
        <w:t>五、数学与信息科学学院研究生培养情况简介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firstLine="605"/>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南昌航空大学数学与信息科学学院现有数学与应用数学本科专业；拥有一级数学学科硕士点；现有专任教师52人，教授10人、副教授13人，博士30人。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firstLine="605"/>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数学与信息科学学院，现有在读研究生59名，研究生培养规模和质量稳步提高；拥有一支23人的优秀硕士生导师队伍，研究方向覆盖应用数学、计算数学、基础数学、</w:t>
      </w:r>
      <w:r>
        <w:rPr>
          <w:rFonts w:hint="default" w:ascii="仿宋_GB2312" w:hAnsi="微软雅黑" w:eastAsia="仿宋_GB2312" w:cs="仿宋_GB2312"/>
          <w:i w:val="0"/>
          <w:iCs w:val="0"/>
          <w:caps w:val="0"/>
          <w:color w:val="333333"/>
          <w:spacing w:val="0"/>
          <w:sz w:val="32"/>
          <w:szCs w:val="32"/>
          <w:bdr w:val="none" w:color="auto" w:sz="0" w:space="0"/>
          <w:shd w:val="clear" w:fill="FFFFFF"/>
        </w:rPr>
        <w:t>运筹学与控制论</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等多个方向。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20" w:lineRule="atLeast"/>
        <w:ind w:left="0" w:right="0" w:firstLine="605"/>
        <w:jc w:val="both"/>
        <w:rPr>
          <w:rFonts w:hint="eastAsia" w:ascii="仿宋" w:hAnsi="仿宋" w:eastAsia="仿宋" w:cs="仿宋"/>
          <w:sz w:val="32"/>
          <w:szCs w:val="32"/>
        </w:rPr>
      </w:pPr>
      <w:r>
        <w:rPr>
          <w:rFonts w:hint="default" w:ascii="仿宋_GB2312" w:hAnsi="仿宋" w:eastAsia="仿宋_GB2312" w:cs="仿宋_GB2312"/>
          <w:b w:val="0"/>
          <w:bCs w:val="0"/>
          <w:i w:val="0"/>
          <w:iCs w:val="0"/>
          <w:caps w:val="0"/>
          <w:color w:val="333333"/>
          <w:spacing w:val="0"/>
          <w:sz w:val="32"/>
          <w:szCs w:val="32"/>
          <w:bdr w:val="none" w:color="auto" w:sz="0" w:space="0"/>
          <w:shd w:val="clear" w:fill="FFFFFF"/>
          <w:lang w:eastAsia="zh-CN"/>
        </w:rPr>
        <w:t>近五年（2018.01-2022.12），学院主持国家自然科学基金10项，省部级自然科学基金15项，博士启动金14项，省教育厅科技项目7项，横向课题2项，科研到账总经费600多万；共发表论文130余篇，其中被SCI检索59篇，EI检索3篇，出版专著6部。</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5F85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1809</Words>
  <Characters>1998</Characters>
  <Lines>0</Lines>
  <Paragraphs>0</Paragraphs>
  <TotalTime>0</TotalTime>
  <ScaleCrop>false</ScaleCrop>
  <LinksUpToDate>false</LinksUpToDate>
  <CharactersWithSpaces>2018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2023-05-04T02:08:35Z</dcterms:created>
  <dc:creator>DELL</dc:creator>
  <cp:lastModifiedBy>曾经的那个老吴</cp:lastModifiedBy>
  <dcterms:modified xsi:type="dcterms:W3CDTF">2023-05-04T02:08:38Z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CAC2059ACC504443AB5400C2AE42CD30_12</vt:lpwstr>
  </property>
</Properties>
</file>