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19" w:lineRule="atLeast"/>
        <w:ind w:left="0" w:right="0" w:firstLine="0"/>
        <w:jc w:val="center"/>
        <w:rPr>
          <w:rFonts w:ascii="微软雅黑" w:hAnsi="微软雅黑" w:eastAsia="微软雅黑" w:cs="微软雅黑"/>
          <w:b w:val="0"/>
          <w:bCs w:val="0"/>
          <w:i w:val="0"/>
          <w:iCs w:val="0"/>
          <w:caps w:val="0"/>
          <w:color w:val="0D87CC"/>
          <w:spacing w:val="0"/>
          <w:sz w:val="26"/>
          <w:szCs w:val="26"/>
        </w:rPr>
      </w:pPr>
      <w:r>
        <w:rPr>
          <w:rFonts w:hint="eastAsia" w:ascii="微软雅黑" w:hAnsi="微软雅黑" w:eastAsia="微软雅黑" w:cs="微软雅黑"/>
          <w:b w:val="0"/>
          <w:bCs w:val="0"/>
          <w:i w:val="0"/>
          <w:iCs w:val="0"/>
          <w:caps w:val="0"/>
          <w:color w:val="0D87CC"/>
          <w:spacing w:val="0"/>
          <w:sz w:val="26"/>
          <w:szCs w:val="26"/>
          <w:bdr w:val="none" w:color="auto" w:sz="0" w:space="0"/>
          <w:shd w:val="clear" w:fill="FFFFFF"/>
        </w:rPr>
        <w:t>飞行器工程（航空发动机）学院2023年硕士研究生 调剂系统开通公告</w:t>
      </w:r>
    </w:p>
    <w:p>
      <w:pPr>
        <w:keepNext w:val="0"/>
        <w:keepLines w:val="0"/>
        <w:widowControl/>
        <w:suppressLineNumbers w:val="0"/>
        <w:pBdr>
          <w:top w:val="none" w:color="auto" w:sz="0" w:space="0"/>
          <w:left w:val="none" w:color="auto" w:sz="0" w:space="0"/>
          <w:bottom w:val="dashed" w:color="DDDDDD" w:sz="4" w:space="9"/>
          <w:right w:val="none" w:color="auto" w:sz="0" w:space="0"/>
        </w:pBdr>
        <w:shd w:val="clear" w:fill="FFFFFF"/>
        <w:spacing w:before="0" w:beforeAutospacing="0" w:after="300" w:afterAutospacing="0"/>
        <w:ind w:left="0" w:right="0" w:firstLine="0"/>
        <w:jc w:val="center"/>
        <w:rPr>
          <w:rFonts w:hint="eastAsia" w:ascii="微软雅黑" w:hAnsi="微软雅黑" w:eastAsia="微软雅黑" w:cs="微软雅黑"/>
          <w:i w:val="0"/>
          <w:iCs w:val="0"/>
          <w:caps w:val="0"/>
          <w:color w:val="777777"/>
          <w:spacing w:val="0"/>
          <w:sz w:val="16"/>
          <w:szCs w:val="16"/>
        </w:rPr>
      </w:pP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来源： 发布时间：2023-04-05 14:57 浏览次数：848 次 【字体：</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6"/>
          <w:szCs w:val="16"/>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6"/>
          <w:szCs w:val="16"/>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777777"/>
          <w:spacing w:val="0"/>
          <w:kern w:val="0"/>
          <w:sz w:val="16"/>
          <w:szCs w:val="16"/>
          <w:bdr w:val="none" w:color="auto" w:sz="0" w:space="0"/>
          <w:shd w:val="clear" w:fill="FFFFFF"/>
          <w:lang w:val="en-US" w:eastAsia="zh-CN" w:bidi="ar"/>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ascii="仿宋_GB2312" w:hAnsi="微软雅黑" w:eastAsia="仿宋_GB2312" w:cs="仿宋_GB2312"/>
          <w:i w:val="0"/>
          <w:iCs w:val="0"/>
          <w:caps w:val="0"/>
          <w:color w:val="333333"/>
          <w:spacing w:val="0"/>
          <w:sz w:val="24"/>
          <w:szCs w:val="24"/>
          <w:bdr w:val="none" w:color="auto" w:sz="0" w:space="0"/>
          <w:shd w:val="clear" w:fill="FFFFFF"/>
        </w:rPr>
        <w:t>根据学校相关</w:t>
      </w:r>
      <w:r>
        <w:rPr>
          <w:rFonts w:hint="default" w:ascii="仿宋_GB2312" w:hAnsi="微软雅黑" w:eastAsia="仿宋_GB2312" w:cs="仿宋_GB2312"/>
          <w:i w:val="0"/>
          <w:iCs w:val="0"/>
          <w:caps w:val="0"/>
          <w:color w:val="333333"/>
          <w:spacing w:val="0"/>
          <w:sz w:val="24"/>
          <w:szCs w:val="24"/>
          <w:bdr w:val="none" w:color="auto" w:sz="0" w:space="0"/>
          <w:shd w:val="clear" w:fill="FFFFFF"/>
        </w:rPr>
        <w:t>文件和《飞行器工程学院（航空发动机学院）2023年硕士研究生调剂考生复试录取工作实施细则》，现就我院本次开通调剂系统相关信息通告如下: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ascii="黑体" w:hAnsi="宋体" w:eastAsia="黑体" w:cs="黑体"/>
          <w:i w:val="0"/>
          <w:iCs w:val="0"/>
          <w:caps w:val="0"/>
          <w:color w:val="333333"/>
          <w:spacing w:val="0"/>
          <w:sz w:val="24"/>
          <w:szCs w:val="24"/>
          <w:bdr w:val="none" w:color="auto" w:sz="0" w:space="0"/>
          <w:shd w:val="clear" w:fill="FFFFFF"/>
        </w:rPr>
        <w:t>一、系统开通时间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4月6日00：00至4月6日12:00（视考生报名情况截止时间可能调整，但不少于12小时）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eastAsia" w:ascii="黑体" w:hAnsi="宋体" w:eastAsia="黑体" w:cs="黑体"/>
          <w:i w:val="0"/>
          <w:iCs w:val="0"/>
          <w:caps w:val="0"/>
          <w:color w:val="333333"/>
          <w:spacing w:val="0"/>
          <w:sz w:val="24"/>
          <w:szCs w:val="24"/>
          <w:bdr w:val="none" w:color="auto" w:sz="0" w:space="0"/>
          <w:shd w:val="clear" w:fill="FFFFFF"/>
        </w:rPr>
        <w:t>二、调剂的专业、人数及要求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eastAsia" w:ascii="黑体" w:hAnsi="宋体" w:eastAsia="黑体" w:cs="黑体"/>
          <w:i w:val="0"/>
          <w:iCs w:val="0"/>
          <w:caps w:val="0"/>
          <w:color w:val="333333"/>
          <w:spacing w:val="0"/>
          <w:sz w:val="24"/>
          <w:szCs w:val="24"/>
          <w:bdr w:val="none" w:color="auto" w:sz="0" w:space="0"/>
          <w:shd w:val="clear" w:fill="FFFFFF"/>
        </w:rPr>
        <w:t> </w:t>
      </w:r>
    </w:p>
    <w:tbl>
      <w:tblPr>
        <w:tblW w:w="6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551"/>
        <w:gridCol w:w="986"/>
        <w:gridCol w:w="2921"/>
        <w:gridCol w:w="1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4" w:hRule="atLeast"/>
        </w:trPr>
        <w:tc>
          <w:tcPr>
            <w:tcW w:w="15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rFonts w:hint="eastAsia" w:ascii="宋体" w:hAnsi="宋体" w:eastAsia="宋体" w:cs="宋体"/>
                <w:sz w:val="24"/>
                <w:szCs w:val="24"/>
                <w:bdr w:val="none" w:color="auto" w:sz="0" w:space="0"/>
              </w:rPr>
              <w:t>专业（代码）名称</w:t>
            </w:r>
          </w:p>
        </w:tc>
        <w:tc>
          <w:tcPr>
            <w:tcW w:w="984"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rFonts w:hint="eastAsia" w:ascii="宋体" w:hAnsi="宋体" w:eastAsia="宋体" w:cs="宋体"/>
                <w:sz w:val="24"/>
                <w:szCs w:val="24"/>
                <w:bdr w:val="none" w:color="auto" w:sz="0" w:space="0"/>
              </w:rPr>
              <w:t>学习方式</w:t>
            </w:r>
          </w:p>
        </w:tc>
        <w:tc>
          <w:tcPr>
            <w:tcW w:w="2916"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rFonts w:hint="eastAsia" w:ascii="宋体" w:hAnsi="宋体" w:eastAsia="宋体" w:cs="宋体"/>
                <w:sz w:val="24"/>
                <w:szCs w:val="24"/>
                <w:bdr w:val="none" w:color="auto" w:sz="0" w:space="0"/>
              </w:rPr>
              <w:t>备注（研究方向）</w:t>
            </w:r>
          </w:p>
        </w:tc>
        <w:tc>
          <w:tcPr>
            <w:tcW w:w="1356" w:type="dxa"/>
            <w:tcBorders>
              <w:top w:val="single" w:color="auto" w:sz="4" w:space="0"/>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Style w:val="6"/>
                <w:rFonts w:hint="eastAsia" w:ascii="宋体" w:hAnsi="宋体" w:eastAsia="宋体" w:cs="宋体"/>
                <w:sz w:val="24"/>
                <w:szCs w:val="24"/>
                <w:bdr w:val="none" w:color="auto" w:sz="0" w:space="0"/>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5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(082500)航空宇航科学与技术</w:t>
            </w:r>
          </w:p>
        </w:tc>
        <w:tc>
          <w:tcPr>
            <w:tcW w:w="98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全日制</w:t>
            </w:r>
          </w:p>
        </w:tc>
        <w:tc>
          <w:tcPr>
            <w:tcW w:w="291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（1）飞行器总体与气动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（2）飞机结构强度与振动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（3）动力结构设计、强度与振动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（4）飞行器动力燃烧、流动与传热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（5）飞行器中的环境问题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（6）飞行力学与飞行安全</w:t>
            </w:r>
          </w:p>
        </w:tc>
        <w:tc>
          <w:tcPr>
            <w:tcW w:w="135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5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(0825Z1)航空噪声与振动工程</w:t>
            </w:r>
          </w:p>
        </w:tc>
        <w:tc>
          <w:tcPr>
            <w:tcW w:w="98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全日制</w:t>
            </w:r>
          </w:p>
        </w:tc>
        <w:tc>
          <w:tcPr>
            <w:tcW w:w="291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（1）飞行器部件的噪声振动分析与控制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（2）结构动力学与减振降噪研究</w:t>
            </w:r>
          </w:p>
        </w:tc>
        <w:tc>
          <w:tcPr>
            <w:tcW w:w="135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5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（085500）机械</w:t>
            </w:r>
          </w:p>
        </w:tc>
        <w:tc>
          <w:tcPr>
            <w:tcW w:w="98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全日制</w:t>
            </w:r>
          </w:p>
        </w:tc>
        <w:tc>
          <w:tcPr>
            <w:tcW w:w="291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01 先进设计技术（包括空气动力学、固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体力学、航空测试故障诊断、振动噪声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及控制等方向）</w:t>
            </w:r>
          </w:p>
        </w:tc>
        <w:tc>
          <w:tcPr>
            <w:tcW w:w="135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少量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00" w:hRule="atLeast"/>
        </w:trPr>
        <w:tc>
          <w:tcPr>
            <w:tcW w:w="15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(085800)能源动力</w:t>
            </w:r>
          </w:p>
        </w:tc>
        <w:tc>
          <w:tcPr>
            <w:tcW w:w="984"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center"/>
            </w:pPr>
            <w:r>
              <w:rPr>
                <w:rFonts w:hint="eastAsia" w:ascii="宋体" w:hAnsi="宋体" w:eastAsia="宋体" w:cs="宋体"/>
                <w:sz w:val="24"/>
                <w:szCs w:val="24"/>
                <w:bdr w:val="none" w:color="auto" w:sz="0" w:space="0"/>
              </w:rPr>
              <w:t>全日制</w:t>
            </w:r>
          </w:p>
        </w:tc>
        <w:tc>
          <w:tcPr>
            <w:tcW w:w="291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（1）动力结构设计及制造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（2）燃烧、流动与传热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（3）发动机测试与控制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（4）振动噪声与结构强度</w:t>
            </w:r>
          </w:p>
        </w:tc>
        <w:tc>
          <w:tcPr>
            <w:tcW w:w="1356" w:type="dxa"/>
            <w:tcBorders>
              <w:top w:val="nil"/>
              <w:left w:val="single" w:color="auto" w:sz="4" w:space="0"/>
              <w:bottom w:val="single" w:color="auto" w:sz="4" w:space="0"/>
              <w:right w:val="single" w:color="auto"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4" w:lineRule="atLeast"/>
              <w:ind w:left="0" w:right="0"/>
              <w:jc w:val="center"/>
            </w:pPr>
            <w:r>
              <w:rPr>
                <w:rFonts w:hint="eastAsia" w:ascii="宋体" w:hAnsi="宋体" w:eastAsia="宋体" w:cs="宋体"/>
                <w:sz w:val="24"/>
                <w:szCs w:val="24"/>
                <w:bdr w:val="none" w:color="auto" w:sz="0" w:space="0"/>
              </w:rPr>
              <w:t>少量</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Style w:val="6"/>
          <w:rFonts w:hint="default" w:ascii="仿宋_GB2312" w:hAnsi="微软雅黑" w:eastAsia="仿宋_GB2312" w:cs="仿宋_GB2312"/>
          <w:i w:val="0"/>
          <w:iCs w:val="0"/>
          <w:caps w:val="0"/>
          <w:color w:val="333333"/>
          <w:spacing w:val="0"/>
          <w:sz w:val="24"/>
          <w:szCs w:val="24"/>
          <w:bdr w:val="none" w:color="auto" w:sz="0" w:space="0"/>
          <w:shd w:val="clear" w:fill="FFFFFF"/>
        </w:rPr>
        <w:t>我院对申请调入我院专业的调剂考生进行遴选时会综合考虑学生初试总成绩、英语成绩、数学成绩、专业成绩、初试专业课与调入专业相关度等进行综合考虑。优先考虑专业符合度、数学、英语及总成绩。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eastAsia" w:ascii="黑体" w:hAnsi="宋体" w:eastAsia="黑体" w:cs="黑体"/>
          <w:i w:val="0"/>
          <w:iCs w:val="0"/>
          <w:caps w:val="0"/>
          <w:color w:val="333333"/>
          <w:spacing w:val="0"/>
          <w:sz w:val="24"/>
          <w:szCs w:val="24"/>
          <w:bdr w:val="none" w:color="auto" w:sz="0" w:space="0"/>
          <w:shd w:val="clear" w:fill="FFFFFF"/>
        </w:rPr>
        <w:t>三、调剂复试和录取规则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系统关闭后，我院将按照差额比例不小于120%的原则，及时遴选复试考生，并发送复试通知。如报名调剂的考生已经接受了其他招生单位的待录取通知，视为主动放弃我院的调剂志愿。未按我院复试通知的时间要求进行确认者视为自动放弃复试资格，我院可撤销复试通知，递补其他考生。如因考生个人原因未及时确认导致复试通知逾期被撤销的，责任由考生本人负责。接受复试通知的调剂考生名单将及时在我院官网进行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接受复试通知的调剂考生，须参加我院组织的调剂复试，详见《飞行器工程学院（航空发动机学院）2023年硕士研究生调剂考生复试录取工作实施细则》。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待录取考生的通知由学校统一发送。如考生已经接受了其他招生单位的待录取通知，视为主动放弃我校的待录取资格。考生应密切关注调剂系统内通知，须在通知规定的时间内通过调剂系统接受或拒绝待录取通知，逾期不确认者视为自动放弃待录取资格，学校将撤销其待录取通知，递补其他考生。如因考生个人原因未及时确认导致待录取通知逾期被撤销的，责任由考生本人负责。调剂非全日制专业的考生须签订相关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联系人：夏老师；电话：0791-83953383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left"/>
      </w:pPr>
      <w:r>
        <w:rPr>
          <w:rFonts w:hint="default" w:ascii="仿宋_GB2312" w:hAnsi="微软雅黑" w:eastAsia="仿宋_GB2312" w:cs="仿宋_GB2312"/>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firstLine="480"/>
        <w:jc w:val="right"/>
      </w:pPr>
      <w:r>
        <w:rPr>
          <w:rFonts w:hint="default" w:ascii="仿宋_GB2312" w:hAnsi="微软雅黑" w:eastAsia="仿宋_GB2312" w:cs="仿宋_GB2312"/>
          <w:i w:val="0"/>
          <w:iCs w:val="0"/>
          <w:caps w:val="0"/>
          <w:color w:val="333333"/>
          <w:spacing w:val="0"/>
          <w:sz w:val="24"/>
          <w:szCs w:val="24"/>
          <w:bdr w:val="none" w:color="auto" w:sz="0" w:space="0"/>
          <w:shd w:val="clear" w:fill="FFFFFF"/>
        </w:rPr>
        <w:t>南昌航空大学飞行器学院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4" w:lineRule="atLeast"/>
        <w:ind w:left="0" w:right="0"/>
        <w:jc w:val="right"/>
      </w:pPr>
      <w:r>
        <w:rPr>
          <w:rFonts w:hint="default" w:ascii="仿宋_GB2312" w:hAnsi="微软雅黑" w:eastAsia="仿宋_GB2312" w:cs="仿宋_GB2312"/>
          <w:i w:val="0"/>
          <w:iCs w:val="0"/>
          <w:caps w:val="0"/>
          <w:color w:val="333333"/>
          <w:spacing w:val="0"/>
          <w:sz w:val="24"/>
          <w:szCs w:val="24"/>
          <w:bdr w:val="none" w:color="auto" w:sz="0" w:space="0"/>
          <w:shd w:val="clear" w:fill="FFFFFF"/>
        </w:rPr>
        <w:t>2023年4月5日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F8D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1024</Words>
  <Characters>1100</Characters>
  <Lines>0</Lines>
  <Paragraphs>0</Paragraphs>
  <TotalTime>0</TotalTime>
  <ScaleCrop>false</ScaleCrop>
  <LinksUpToDate>false</LinksUpToDate>
  <CharactersWithSpaces>1113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2023-05-04T01:53:27Z</dcterms:created>
  <dc:creator>DELL</dc:creator>
  <cp:lastModifiedBy>曾经的那个老吴</cp:lastModifiedBy>
  <dcterms:modified xsi:type="dcterms:W3CDTF">2023-05-04T01:53:29Z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66A362DD867B4ABD92F43039C87EA7A3_12</vt:lpwstr>
  </property>
</Properties>
</file>