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E4E4E4" w:sz="4" w:space="7"/>
          <w:right w:val="none" w:color="auto" w:sz="0" w:space="0"/>
        </w:pBdr>
        <w:spacing w:before="0" w:beforeAutospacing="0" w:after="0" w:afterAutospacing="0"/>
        <w:ind w:left="0" w:right="0"/>
        <w:jc w:val="center"/>
        <w:rPr>
          <w:b/>
          <w:bCs/>
          <w:sz w:val="18"/>
          <w:szCs w:val="18"/>
        </w:rPr>
      </w:pPr>
      <w:bookmarkStart w:id="0" w:name="_GoBack"/>
      <w:r>
        <w:rPr>
          <w:rFonts w:ascii="宋体" w:hAnsi="宋体" w:eastAsia="宋体" w:cs="宋体"/>
          <w:b/>
          <w:bCs/>
          <w:kern w:val="0"/>
          <w:sz w:val="18"/>
          <w:szCs w:val="18"/>
          <w:bdr w:val="none" w:color="auto" w:sz="0" w:space="0"/>
          <w:lang w:val="en-US" w:eastAsia="zh-CN" w:bidi="ar"/>
        </w:rPr>
        <w:t>化学与化工学院2023年硕士研究生调剂复试通知(第二批次)</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999999"/>
          <w:sz w:val="12"/>
          <w:szCs w:val="12"/>
        </w:rPr>
      </w:pPr>
      <w:r>
        <w:rPr>
          <w:rFonts w:ascii="宋体" w:hAnsi="宋体" w:eastAsia="宋体" w:cs="宋体"/>
          <w:color w:val="999999"/>
          <w:kern w:val="0"/>
          <w:sz w:val="12"/>
          <w:szCs w:val="12"/>
          <w:bdr w:val="none" w:color="auto" w:sz="0" w:space="0"/>
          <w:lang w:val="en-US" w:eastAsia="zh-CN" w:bidi="ar"/>
        </w:rPr>
        <w:t>发布时间：2023-04-08    阅读次数:665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经调剂系统填报和遴选，下列考生进入复试名单：</w:t>
      </w:r>
    </w:p>
    <w:tbl>
      <w:tblPr>
        <w:tblW w:w="69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53"/>
        <w:gridCol w:w="1517"/>
        <w:gridCol w:w="631"/>
        <w:gridCol w:w="653"/>
        <w:gridCol w:w="664"/>
        <w:gridCol w:w="675"/>
        <w:gridCol w:w="710"/>
        <w:gridCol w:w="14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rPr>
        <w:tc>
          <w:tcPr>
            <w:tcW w:w="590" w:type="dxa"/>
            <w:tcBorders>
              <w:top w:val="single" w:color="000000" w:sz="4" w:space="0"/>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姓名</w:t>
            </w:r>
          </w:p>
        </w:tc>
        <w:tc>
          <w:tcPr>
            <w:tcW w:w="137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考生编号</w:t>
            </w:r>
          </w:p>
        </w:tc>
        <w:tc>
          <w:tcPr>
            <w:tcW w:w="57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外国语</w:t>
            </w:r>
          </w:p>
        </w:tc>
        <w:tc>
          <w:tcPr>
            <w:tcW w:w="59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政治理论</w:t>
            </w:r>
          </w:p>
        </w:tc>
        <w:tc>
          <w:tcPr>
            <w:tcW w:w="60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业务科</w:t>
            </w:r>
            <w:r>
              <w:rPr>
                <w:rFonts w:ascii="Arial" w:hAnsi="Arial" w:cs="Arial" w:eastAsiaTheme="minorEastAsia"/>
                <w:kern w:val="0"/>
                <w:sz w:val="13"/>
                <w:szCs w:val="13"/>
                <w:bdr w:val="none" w:color="auto" w:sz="0" w:space="0"/>
                <w:lang w:val="en-US" w:eastAsia="zh-CN" w:bidi="ar"/>
              </w:rPr>
              <w:t>1</w:t>
            </w:r>
          </w:p>
        </w:tc>
        <w:tc>
          <w:tcPr>
            <w:tcW w:w="61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业务科</w:t>
            </w:r>
            <w:r>
              <w:rPr>
                <w:rFonts w:hint="default" w:ascii="Arial" w:hAnsi="Arial" w:cs="Arial" w:eastAsiaTheme="minorEastAsia"/>
                <w:kern w:val="0"/>
                <w:sz w:val="13"/>
                <w:szCs w:val="13"/>
                <w:bdr w:val="none" w:color="auto" w:sz="0" w:space="0"/>
                <w:lang w:val="en-US" w:eastAsia="zh-CN" w:bidi="ar"/>
              </w:rPr>
              <w:t>2</w:t>
            </w:r>
          </w:p>
        </w:tc>
        <w:tc>
          <w:tcPr>
            <w:tcW w:w="64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总分</w:t>
            </w:r>
          </w:p>
        </w:tc>
        <w:tc>
          <w:tcPr>
            <w:tcW w:w="12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4"/>
                <w:szCs w:val="14"/>
                <w:bdr w:val="none" w:color="auto" w:sz="0" w:space="0"/>
                <w:lang w:val="en-US" w:eastAsia="zh-CN" w:bidi="ar"/>
              </w:rPr>
              <w:t>拟申请调剂专业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0" w:hRule="atLeast"/>
        </w:trPr>
        <w:tc>
          <w:tcPr>
            <w:tcW w:w="59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袁周洲</w:t>
            </w:r>
          </w:p>
        </w:tc>
        <w:tc>
          <w:tcPr>
            <w:tcW w:w="137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100103124602272</w:t>
            </w:r>
          </w:p>
        </w:tc>
        <w:tc>
          <w:tcPr>
            <w:tcW w:w="57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73</w:t>
            </w:r>
          </w:p>
        </w:tc>
        <w:tc>
          <w:tcPr>
            <w:tcW w:w="5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52</w:t>
            </w:r>
          </w:p>
        </w:tc>
        <w:tc>
          <w:tcPr>
            <w:tcW w:w="6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108</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122</w:t>
            </w:r>
          </w:p>
        </w:tc>
        <w:tc>
          <w:tcPr>
            <w:tcW w:w="64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355</w:t>
            </w:r>
          </w:p>
        </w:tc>
        <w:tc>
          <w:tcPr>
            <w:tcW w:w="12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化学工程与技术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0" w:hRule="atLeast"/>
        </w:trPr>
        <w:tc>
          <w:tcPr>
            <w:tcW w:w="59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杨龙波</w:t>
            </w:r>
          </w:p>
        </w:tc>
        <w:tc>
          <w:tcPr>
            <w:tcW w:w="137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105613130513140</w:t>
            </w:r>
          </w:p>
        </w:tc>
        <w:tc>
          <w:tcPr>
            <w:tcW w:w="57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44</w:t>
            </w:r>
          </w:p>
        </w:tc>
        <w:tc>
          <w:tcPr>
            <w:tcW w:w="5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76</w:t>
            </w:r>
          </w:p>
        </w:tc>
        <w:tc>
          <w:tcPr>
            <w:tcW w:w="6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104</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123</w:t>
            </w:r>
          </w:p>
        </w:tc>
        <w:tc>
          <w:tcPr>
            <w:tcW w:w="64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347</w:t>
            </w:r>
          </w:p>
        </w:tc>
        <w:tc>
          <w:tcPr>
            <w:tcW w:w="12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化学工程与技术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0" w:hRule="atLeast"/>
        </w:trPr>
        <w:tc>
          <w:tcPr>
            <w:tcW w:w="59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蔡赛楠</w:t>
            </w:r>
          </w:p>
        </w:tc>
        <w:tc>
          <w:tcPr>
            <w:tcW w:w="137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102863411418706</w:t>
            </w:r>
          </w:p>
        </w:tc>
        <w:tc>
          <w:tcPr>
            <w:tcW w:w="57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52</w:t>
            </w:r>
          </w:p>
        </w:tc>
        <w:tc>
          <w:tcPr>
            <w:tcW w:w="5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68</w:t>
            </w:r>
          </w:p>
        </w:tc>
        <w:tc>
          <w:tcPr>
            <w:tcW w:w="6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94</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127</w:t>
            </w:r>
          </w:p>
        </w:tc>
        <w:tc>
          <w:tcPr>
            <w:tcW w:w="64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341</w:t>
            </w:r>
          </w:p>
        </w:tc>
        <w:tc>
          <w:tcPr>
            <w:tcW w:w="12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化学工程与技术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0" w:hRule="atLeast"/>
        </w:trPr>
        <w:tc>
          <w:tcPr>
            <w:tcW w:w="59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杜昌军</w:t>
            </w:r>
          </w:p>
        </w:tc>
        <w:tc>
          <w:tcPr>
            <w:tcW w:w="137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103593210007339</w:t>
            </w:r>
          </w:p>
        </w:tc>
        <w:tc>
          <w:tcPr>
            <w:tcW w:w="57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43</w:t>
            </w:r>
          </w:p>
        </w:tc>
        <w:tc>
          <w:tcPr>
            <w:tcW w:w="5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55</w:t>
            </w:r>
          </w:p>
        </w:tc>
        <w:tc>
          <w:tcPr>
            <w:tcW w:w="6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118</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124</w:t>
            </w:r>
          </w:p>
        </w:tc>
        <w:tc>
          <w:tcPr>
            <w:tcW w:w="64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340</w:t>
            </w:r>
          </w:p>
        </w:tc>
        <w:tc>
          <w:tcPr>
            <w:tcW w:w="12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化学工程与技术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0" w:hRule="atLeast"/>
        </w:trPr>
        <w:tc>
          <w:tcPr>
            <w:tcW w:w="59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秦欢</w:t>
            </w:r>
          </w:p>
        </w:tc>
        <w:tc>
          <w:tcPr>
            <w:tcW w:w="137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106113018080388</w:t>
            </w:r>
          </w:p>
        </w:tc>
        <w:tc>
          <w:tcPr>
            <w:tcW w:w="57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57</w:t>
            </w:r>
          </w:p>
        </w:tc>
        <w:tc>
          <w:tcPr>
            <w:tcW w:w="5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63</w:t>
            </w:r>
          </w:p>
        </w:tc>
        <w:tc>
          <w:tcPr>
            <w:tcW w:w="6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90</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128</w:t>
            </w:r>
          </w:p>
        </w:tc>
        <w:tc>
          <w:tcPr>
            <w:tcW w:w="64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338</w:t>
            </w:r>
          </w:p>
        </w:tc>
        <w:tc>
          <w:tcPr>
            <w:tcW w:w="12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化学工程与技术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0" w:hRule="atLeast"/>
        </w:trPr>
        <w:tc>
          <w:tcPr>
            <w:tcW w:w="59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贺贝贝</w:t>
            </w:r>
          </w:p>
        </w:tc>
        <w:tc>
          <w:tcPr>
            <w:tcW w:w="137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103353000912795</w:t>
            </w:r>
          </w:p>
        </w:tc>
        <w:tc>
          <w:tcPr>
            <w:tcW w:w="57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64</w:t>
            </w:r>
          </w:p>
        </w:tc>
        <w:tc>
          <w:tcPr>
            <w:tcW w:w="5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68</w:t>
            </w:r>
          </w:p>
        </w:tc>
        <w:tc>
          <w:tcPr>
            <w:tcW w:w="60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104</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100</w:t>
            </w:r>
          </w:p>
        </w:tc>
        <w:tc>
          <w:tcPr>
            <w:tcW w:w="64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336</w:t>
            </w:r>
          </w:p>
        </w:tc>
        <w:tc>
          <w:tcPr>
            <w:tcW w:w="12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化学工程与技术</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asciiTheme="minorHAnsi" w:hAnsiTheme="minorHAnsi" w:eastAsiaTheme="minorEastAsia" w:cstheme="minorBidi"/>
          <w:color w:val="333333"/>
          <w:spacing w:val="1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一、复试资格审查：进入复试名单的考生需提交电子版资格验证材料。考生须按要求上传下列证件扫描件并按顺序合并形成一个PDF文档（文件名：姓名-准考证号-申请调剂专业）于4月8日12:00前发送至邮箱（hxhgyanjiusheng@hfut.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1、身份证（正反面）。其中少数民族考生身份以报考时查验的身份证为准，复试时不得更改。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2、往届考生的毕业证书、学位证书，应届考生的学生证（</w:t>
      </w:r>
      <w:r>
        <w:rPr>
          <w:rStyle w:val="5"/>
          <w:rFonts w:hint="eastAsia" w:ascii="宋体" w:hAnsi="宋体" w:eastAsia="宋体" w:cs="宋体"/>
          <w:b/>
          <w:bCs/>
          <w:color w:val="FF0000"/>
          <w:kern w:val="0"/>
          <w:sz w:val="14"/>
          <w:szCs w:val="14"/>
          <w:bdr w:val="none" w:color="auto" w:sz="0" w:space="0"/>
          <w:shd w:val="clear" w:fill="FFFF00"/>
          <w:lang w:val="en-US" w:eastAsia="zh-CN" w:bidi="ar"/>
        </w:rPr>
        <w:t>包含学生证信息页和注册页；注册页须有大四下学期的注册章；如注册章不全，请登录学信网下载学历（学籍）认证报告</w:t>
      </w:r>
      <w:r>
        <w:rPr>
          <w:rFonts w:hint="eastAsia" w:ascii="宋体" w:hAnsi="宋体" w:eastAsia="宋体" w:cs="宋体"/>
          <w:color w:val="333333"/>
          <w:spacing w:val="10"/>
          <w:kern w:val="0"/>
          <w:sz w:val="19"/>
          <w:szCs w:val="19"/>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3、复试诚信承诺书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0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对不符合规定或弄虚作假者，一经查实，视为资格审查不通过，不予复试。拟录取考生入学报到时，招生学院将对其资格审查材料再次审查，对不符合规定或弄虚作假者，取消入学资格。</w:t>
      </w:r>
      <w:r>
        <w:rPr>
          <w:rFonts w:asciiTheme="minorHAnsi" w:hAnsiTheme="minorHAnsi" w:eastAsiaTheme="minorEastAsia" w:cstheme="minorBidi"/>
          <w:color w:val="333333"/>
          <w:spacing w:val="1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未按时提交资格审查材料的考生，视为放弃复试。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二、复试时间：4月8日下午14:30开始（</w:t>
      </w:r>
      <w:r>
        <w:rPr>
          <w:rStyle w:val="5"/>
          <w:rFonts w:hint="eastAsia" w:ascii="宋体" w:hAnsi="宋体" w:eastAsia="宋体" w:cs="宋体"/>
          <w:b/>
          <w:bCs/>
          <w:color w:val="FF0000"/>
          <w:spacing w:val="10"/>
          <w:kern w:val="0"/>
          <w:sz w:val="16"/>
          <w:szCs w:val="16"/>
          <w:bdr w:val="none" w:color="auto" w:sz="0" w:space="0"/>
          <w:shd w:val="clear" w:fill="FFFFFF"/>
          <w:lang w:val="en-US" w:eastAsia="zh-CN" w:bidi="ar"/>
        </w:rPr>
        <w:t>4月8日中午12:00进行连线测试。请考生中午11:50加入腾讯会议：750-803-381</w:t>
      </w:r>
      <w:r>
        <w:rPr>
          <w:rFonts w:hint="eastAsia" w:ascii="宋体" w:hAnsi="宋体" w:eastAsia="宋体" w:cs="宋体"/>
          <w:color w:val="333333"/>
          <w:spacing w:val="10"/>
          <w:kern w:val="0"/>
          <w:sz w:val="19"/>
          <w:szCs w:val="19"/>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三、网络远程复试流程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（一）学院采用腾讯会议和钉钉会议主副两套会议系统平台同时进行面试。请考生提前下载并在电脑、手机端安装腾讯会议和钉钉会议。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腾讯会议下载网址：</w:t>
      </w:r>
      <w:r>
        <w:rPr>
          <w:rFonts w:asciiTheme="minorHAnsi" w:hAnsiTheme="minorHAnsi" w:eastAsiaTheme="minorEastAsia" w:cstheme="minorBidi"/>
          <w:color w:val="666666"/>
          <w:kern w:val="0"/>
          <w:sz w:val="24"/>
          <w:szCs w:val="24"/>
          <w:u w:val="none"/>
          <w:bdr w:val="none" w:color="auto" w:sz="0" w:space="0"/>
          <w:lang w:val="en-US" w:eastAsia="zh-CN" w:bidi="ar"/>
        </w:rPr>
        <w:fldChar w:fldCharType="begin"/>
      </w:r>
      <w:r>
        <w:rPr>
          <w:rFonts w:asciiTheme="minorHAnsi" w:hAnsiTheme="minorHAnsi" w:eastAsiaTheme="minorEastAsia" w:cstheme="minorBidi"/>
          <w:color w:val="666666"/>
          <w:kern w:val="0"/>
          <w:sz w:val="24"/>
          <w:szCs w:val="24"/>
          <w:u w:val="none"/>
          <w:bdr w:val="none" w:color="auto" w:sz="0" w:space="0"/>
          <w:lang w:val="en-US" w:eastAsia="zh-CN" w:bidi="ar"/>
        </w:rPr>
        <w:instrText xml:space="preserve"> HYPERLINK "https://cloud.tencent.com/act/event/tencentmeeting_free" </w:instrText>
      </w:r>
      <w:r>
        <w:rPr>
          <w:rFonts w:asciiTheme="minorHAnsi" w:hAnsiTheme="minorHAnsi" w:eastAsiaTheme="minorEastAsia" w:cstheme="minorBidi"/>
          <w:color w:val="666666"/>
          <w:kern w:val="0"/>
          <w:sz w:val="24"/>
          <w:szCs w:val="24"/>
          <w:u w:val="none"/>
          <w:bdr w:val="none" w:color="auto" w:sz="0" w:space="0"/>
          <w:lang w:val="en-US" w:eastAsia="zh-CN" w:bidi="ar"/>
        </w:rPr>
        <w:fldChar w:fldCharType="separate"/>
      </w:r>
      <w:r>
        <w:rPr>
          <w:rStyle w:val="6"/>
          <w:rFonts w:hint="eastAsia" w:ascii="宋体" w:hAnsi="宋体" w:eastAsia="宋体" w:cs="宋体"/>
          <w:color w:val="666666"/>
          <w:spacing w:val="10"/>
          <w:sz w:val="19"/>
          <w:szCs w:val="19"/>
          <w:u w:val="none"/>
          <w:bdr w:val="none" w:color="auto" w:sz="0" w:space="0"/>
          <w:shd w:val="clear" w:fill="FFFFFF"/>
        </w:rPr>
        <w:t>https://cloud.tencent.com/act/event/tencentmeeting_free</w:t>
      </w:r>
      <w:r>
        <w:rPr>
          <w:rFonts w:asciiTheme="minorHAnsi" w:hAnsiTheme="minorHAnsi" w:eastAsiaTheme="minorEastAsia" w:cstheme="minorBidi"/>
          <w:color w:val="666666"/>
          <w:kern w:val="0"/>
          <w:sz w:val="24"/>
          <w:szCs w:val="2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钉钉会议下载网址：https://www.dingtalk.com/7</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二）复试当天复试秘书会在复试开始前半小时内将复试次序告知考生。请所有待面试的考生保证通讯畅通。复试组考生在14点前登录腾讯会议和钉钉，复试组长在腾讯会议强调复试纪律及注意事项后，考生进入腾讯会议候考区做好复试准备，保证手机、笔记本电量充足。</w:t>
      </w:r>
      <w:r>
        <w:rPr>
          <w:rFonts w:asciiTheme="minorHAnsi" w:hAnsiTheme="minorHAnsi" w:eastAsiaTheme="minorEastAsia" w:cstheme="minorBidi"/>
          <w:color w:val="333333"/>
          <w:spacing w:val="10"/>
          <w:kern w:val="0"/>
          <w:sz w:val="19"/>
          <w:szCs w:val="19"/>
          <w:bdr w:val="none" w:color="auto" w:sz="0" w:space="0"/>
          <w:shd w:val="clear" w:fill="FFFFFF"/>
          <w:lang w:val="en-US" w:eastAsia="zh-CN" w:bidi="ar"/>
        </w:rPr>
        <w:br w:type="textWrapping"/>
      </w:r>
      <w:r>
        <w:rPr>
          <w:rFonts w:hint="eastAsia" w:ascii="宋体" w:hAnsi="宋体" w:eastAsia="宋体" w:cs="宋体"/>
          <w:color w:val="333333"/>
          <w:spacing w:val="10"/>
          <w:kern w:val="0"/>
          <w:sz w:val="19"/>
          <w:szCs w:val="19"/>
          <w:bdr w:val="none" w:color="auto" w:sz="0" w:space="0"/>
          <w:shd w:val="clear" w:fill="FFFFFF"/>
          <w:lang w:val="en-US" w:eastAsia="zh-CN" w:bidi="ar"/>
        </w:rPr>
        <w:t>（三）线上秘书会提前15分钟依次和即将复试的考生联系，通过钉钉会议协助考生最后测试话筒、摄像头，检查考生双机位布置情况、复试考场环境布置情况；核查考生身份。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（四）考生准备、核查结束后，等待面试开始，线上秘书将该考生从腾讯会议候考区移入指定考场，要求考生手持准考证、身份证面向摄像头进行最后人证摄像，随后开始复试。</w:t>
      </w:r>
      <w:r>
        <w:rPr>
          <w:rFonts w:asciiTheme="minorHAnsi" w:hAnsiTheme="minorHAnsi" w:eastAsiaTheme="minorEastAsia" w:cstheme="minorBidi"/>
          <w:color w:val="333333"/>
          <w:spacing w:val="10"/>
          <w:kern w:val="0"/>
          <w:sz w:val="19"/>
          <w:szCs w:val="19"/>
          <w:bdr w:val="none" w:color="auto" w:sz="0" w:space="0"/>
          <w:shd w:val="clear" w:fill="FFFFFF"/>
          <w:lang w:val="en-US" w:eastAsia="zh-CN" w:bidi="ar"/>
        </w:rPr>
        <w:br w:type="textWrapping"/>
      </w:r>
      <w:r>
        <w:rPr>
          <w:rFonts w:hint="eastAsia" w:ascii="宋体" w:hAnsi="宋体" w:eastAsia="宋体" w:cs="宋体"/>
          <w:color w:val="333333"/>
          <w:spacing w:val="10"/>
          <w:kern w:val="0"/>
          <w:sz w:val="19"/>
          <w:szCs w:val="19"/>
          <w:bdr w:val="none" w:color="auto" w:sz="0" w:space="0"/>
          <w:shd w:val="clear" w:fill="FFFFFF"/>
          <w:lang w:val="en-US" w:eastAsia="zh-CN" w:bidi="ar"/>
        </w:rPr>
        <w:t>（五）专家组对考生进行复试，结束后考生离开腾讯会议考场。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四、复试规范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一）考生需按要求提供复试资格的审查材料，对不符合规定或弄虚作假者，一经查实，视为资格审查不通过，取消复试资格。拟录取考生入学报到时，学院对其有效身份证件、学历学位证书、学历（学籍）校验结果等报名材料原件及报考资格进行再次审查，对不符合规定或弄虚作假者，一经查实，取消入学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200"/>
        <w:jc w:val="left"/>
      </w:pPr>
      <w:r>
        <w:rPr>
          <w:rFonts w:hint="eastAsia" w:ascii="宋体" w:hAnsi="宋体" w:eastAsia="宋体" w:cs="宋体"/>
          <w:color w:val="FF0000"/>
          <w:spacing w:val="10"/>
          <w:kern w:val="0"/>
          <w:sz w:val="19"/>
          <w:szCs w:val="19"/>
          <w:bdr w:val="none" w:color="auto" w:sz="0" w:space="0"/>
          <w:shd w:val="clear" w:fill="FFFFFF"/>
          <w:lang w:val="en-US" w:eastAsia="zh-CN" w:bidi="ar"/>
        </w:rPr>
        <w:t>复试前按学院要求签订、提交《诚信复试承诺书》；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200"/>
        <w:jc w:val="left"/>
      </w:pPr>
      <w:r>
        <w:rPr>
          <w:rFonts w:hint="eastAsia" w:ascii="宋体" w:hAnsi="宋体" w:eastAsia="宋体" w:cs="宋体"/>
          <w:color w:val="FF0000"/>
          <w:spacing w:val="10"/>
          <w:kern w:val="0"/>
          <w:sz w:val="19"/>
          <w:szCs w:val="19"/>
          <w:bdr w:val="none" w:color="auto" w:sz="0" w:space="0"/>
          <w:shd w:val="clear" w:fill="FFFFFF"/>
          <w:lang w:val="en-US" w:eastAsia="zh-CN" w:bidi="ar"/>
        </w:rPr>
        <w:t>考生须携带本人《准考证》和有效居民身份证参加复试。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（二）复试设备及安放位置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0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考生须准备两台具有摄像功能的设备参加复试。主设备为电脑，安装主系统平台（腾讯会议），摆放于考生正面；副设备为手机或电脑，安装副系统平台（钉钉会议），摆放于考生侧后方，与考生后背面约成45°角。另准备一部电话，用于应急联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（三）网络配备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0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考生应配备有线网络、无线网络、4G网络的两个以上，检查网络是否畅通，建议考生电脑通过连接有线网络参与面试，尽量不要使用很多人共享的无线网络，以防面试过程中断网。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（四）考场规则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0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选择独立无干扰房间独自参加网络远程复试，不得接受他人或机构用任何方式助考；不得过度修饰仪容，不得佩戴耳机、帽子、头饰、墨镜、口罩及耳饰等，头发不得遮挡耳朵、面部；复试过程中如发生设备或网络故障等突发状况，考生应服从招生学院的应急安排，配合学院顺利进行复试工作；复试过程中禁止录音、录像、拍照、截屏、录屏及进行网络直播，禁止以任何形式传播复试相关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（五）违纪违规处理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0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复试是研究生招生考试的重要组成部分。对在研究生招生考试中违反考试管理规定和考场纪律的考生及其他相关人员，一律按《国家教育考试违规处理办法》（教育部令第33号）严肃处理。对于在校生，由其所在学校按有关规定给予处分，直至开除学籍；对于在职考生，将通知其所在单位，由所在单位视情节给予党纪或政纪处分；构成违法的，由司法机关依法追究法律责任，其中构成犯罪的，依法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五、调剂复试办法与第一志愿考生复试办法相同，调剂具体要求、思想政治素质和品德考核、体检、录取办法、监督复议和其他事项等请参见学院网站3月</w:t>
      </w:r>
      <w:r>
        <w:rPr>
          <w:rFonts w:asciiTheme="minorHAnsi" w:hAnsiTheme="minorHAnsi" w:eastAsiaTheme="minorEastAsia" w:cstheme="minorBidi"/>
          <w:color w:val="333333"/>
          <w:spacing w:val="10"/>
          <w:kern w:val="0"/>
          <w:sz w:val="19"/>
          <w:szCs w:val="19"/>
          <w:bdr w:val="none" w:color="auto" w:sz="0" w:space="0"/>
          <w:shd w:val="clear" w:fill="FFFFFF"/>
          <w:lang w:val="en-US" w:eastAsia="zh-CN" w:bidi="ar"/>
        </w:rPr>
        <w:t>22</w:t>
      </w:r>
      <w:r>
        <w:rPr>
          <w:rFonts w:hint="eastAsia" w:ascii="宋体" w:hAnsi="宋体" w:eastAsia="宋体" w:cs="宋体"/>
          <w:color w:val="333333"/>
          <w:spacing w:val="10"/>
          <w:kern w:val="0"/>
          <w:sz w:val="19"/>
          <w:szCs w:val="19"/>
          <w:bdr w:val="none" w:color="auto" w:sz="0" w:space="0"/>
          <w:shd w:val="clear" w:fill="FFFFFF"/>
          <w:lang w:val="en-US" w:eastAsia="zh-CN" w:bidi="ar"/>
        </w:rPr>
        <w:t>日发布的《合肥工业大学化学与化工学院2023年硕士研究生招生复试工作实施细则》。</w:t>
      </w:r>
      <w:r>
        <w:rPr>
          <w:rStyle w:val="5"/>
          <w:rFonts w:hint="eastAsia" w:ascii="宋体" w:hAnsi="宋体" w:eastAsia="宋体" w:cs="宋体"/>
          <w:b/>
          <w:bCs/>
          <w:color w:val="FF0000"/>
          <w:spacing w:val="10"/>
          <w:kern w:val="0"/>
          <w:sz w:val="19"/>
          <w:szCs w:val="19"/>
          <w:bdr w:val="none" w:color="auto" w:sz="0" w:space="0"/>
          <w:shd w:val="clear" w:fill="FFFFFF"/>
          <w:lang w:val="en-US" w:eastAsia="zh-CN" w:bidi="ar"/>
        </w:rPr>
        <w:t>综合面试实行一票否决制度，综合面试低于</w:t>
      </w:r>
      <w:r>
        <w:rPr>
          <w:rStyle w:val="5"/>
          <w:rFonts w:asciiTheme="minorHAnsi" w:hAnsiTheme="minorHAnsi" w:eastAsiaTheme="minorEastAsia" w:cstheme="minorBidi"/>
          <w:b/>
          <w:bCs/>
          <w:color w:val="FF0000"/>
          <w:spacing w:val="10"/>
          <w:kern w:val="0"/>
          <w:sz w:val="19"/>
          <w:szCs w:val="19"/>
          <w:bdr w:val="none" w:color="auto" w:sz="0" w:space="0"/>
          <w:shd w:val="clear" w:fill="FFFFFF"/>
          <w:lang w:val="en-US" w:eastAsia="zh-CN" w:bidi="ar"/>
        </w:rPr>
        <w:t>60</w:t>
      </w:r>
      <w:r>
        <w:rPr>
          <w:rStyle w:val="5"/>
          <w:rFonts w:hint="eastAsia" w:ascii="宋体" w:hAnsi="宋体" w:eastAsia="宋体" w:cs="宋体"/>
          <w:b/>
          <w:bCs/>
          <w:color w:val="FF0000"/>
          <w:spacing w:val="10"/>
          <w:kern w:val="0"/>
          <w:sz w:val="19"/>
          <w:szCs w:val="19"/>
          <w:bdr w:val="none" w:color="auto" w:sz="0" w:space="0"/>
          <w:shd w:val="clear" w:fill="FFFFFF"/>
          <w:lang w:val="en-US" w:eastAsia="zh-CN" w:bidi="ar"/>
        </w:rPr>
        <w:t>分者不予录取。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六、咨询电话：0551-62901547， 联系人：安老师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right"/>
      </w:pPr>
      <w:r>
        <w:rPr>
          <w:rFonts w:hint="eastAsia" w:ascii="宋体" w:hAnsi="宋体" w:eastAsia="宋体" w:cs="宋体"/>
          <w:color w:val="333333"/>
          <w:spacing w:val="10"/>
          <w:kern w:val="0"/>
          <w:sz w:val="19"/>
          <w:szCs w:val="19"/>
          <w:bdr w:val="none" w:color="auto" w:sz="0" w:space="0"/>
          <w:shd w:val="clear" w:fill="FFFFFF"/>
          <w:lang w:val="en-US" w:eastAsia="zh-CN" w:bidi="ar"/>
        </w:rPr>
        <w:t>化学与化工学院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right"/>
      </w:pPr>
      <w:r>
        <w:rPr>
          <w:rFonts w:hint="eastAsia" w:ascii="宋体" w:hAnsi="宋体" w:eastAsia="宋体" w:cs="宋体"/>
          <w:color w:val="333333"/>
          <w:spacing w:val="10"/>
          <w:kern w:val="0"/>
          <w:sz w:val="19"/>
          <w:szCs w:val="19"/>
          <w:bdr w:val="none" w:color="auto" w:sz="0" w:space="0"/>
          <w:shd w:val="clear" w:fill="FFFFFF"/>
          <w:lang w:val="en-US" w:eastAsia="zh-CN" w:bidi="ar"/>
        </w:rPr>
        <w:t>2023年4月8日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pPr>
      <w:r>
        <w:rPr>
          <w:rFonts w:hint="eastAsia" w:ascii="宋体" w:hAnsi="宋体" w:eastAsia="宋体" w:cs="宋体"/>
          <w:color w:val="333333"/>
          <w:spacing w:val="10"/>
          <w:kern w:val="0"/>
          <w:sz w:val="19"/>
          <w:szCs w:val="19"/>
          <w:bdr w:val="none" w:color="auto" w:sz="0" w:space="0"/>
          <w:shd w:val="clear" w:fill="FFFFFF"/>
          <w:lang w:val="en-US" w:eastAsia="zh-CN" w:bidi="ar"/>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color w:val="666666"/>
          <w:spacing w:val="10"/>
          <w:kern w:val="0"/>
          <w:sz w:val="19"/>
          <w:szCs w:val="19"/>
          <w:u w:val="none"/>
          <w:bdr w:val="none" w:color="auto" w:sz="0" w:space="0"/>
          <w:shd w:val="clear" w:fill="FFFFFF"/>
          <w:lang w:val="en-US" w:eastAsia="zh-CN" w:bidi="ar"/>
        </w:rPr>
        <w:fldChar w:fldCharType="begin"/>
      </w:r>
      <w:r>
        <w:rPr>
          <w:rFonts w:hint="eastAsia" w:ascii="宋体" w:hAnsi="宋体" w:eastAsia="宋体" w:cs="宋体"/>
          <w:color w:val="666666"/>
          <w:spacing w:val="10"/>
          <w:kern w:val="0"/>
          <w:sz w:val="19"/>
          <w:szCs w:val="19"/>
          <w:u w:val="none"/>
          <w:bdr w:val="none" w:color="auto" w:sz="0" w:space="0"/>
          <w:shd w:val="clear" w:fill="FFFFFF"/>
          <w:lang w:val="en-US" w:eastAsia="zh-CN" w:bidi="ar"/>
        </w:rPr>
        <w:instrText xml:space="preserve"> HYPERLINK "http://hgxy.hfut.edu.cn/_upload/article/files/38/f7/3ff13c2d4cddacd020f6b8e38d7b/5dfeff5c-f145-45d4-a862-2f7a17c540e7.docx" </w:instrText>
      </w:r>
      <w:r>
        <w:rPr>
          <w:rFonts w:hint="eastAsia" w:ascii="宋体" w:hAnsi="宋体" w:eastAsia="宋体" w:cs="宋体"/>
          <w:color w:val="666666"/>
          <w:spacing w:val="10"/>
          <w:kern w:val="0"/>
          <w:sz w:val="19"/>
          <w:szCs w:val="19"/>
          <w:u w:val="none"/>
          <w:bdr w:val="none" w:color="auto" w:sz="0" w:space="0"/>
          <w:shd w:val="clear" w:fill="FFFFFF"/>
          <w:lang w:val="en-US" w:eastAsia="zh-CN" w:bidi="ar"/>
        </w:rPr>
        <w:fldChar w:fldCharType="separate"/>
      </w:r>
      <w:r>
        <w:rPr>
          <w:rStyle w:val="6"/>
          <w:rFonts w:hint="eastAsia" w:ascii="宋体" w:hAnsi="宋体" w:eastAsia="宋体" w:cs="宋体"/>
          <w:color w:val="666666"/>
          <w:spacing w:val="10"/>
          <w:sz w:val="19"/>
          <w:szCs w:val="19"/>
          <w:u w:val="none"/>
          <w:bdr w:val="none" w:color="auto" w:sz="0" w:space="0"/>
          <w:shd w:val="clear" w:fill="FFFFFF"/>
        </w:rPr>
        <w:t>17.合肥工业大学2023年硕士研究生网络远程复试诚信复试承诺书.docx</w:t>
      </w:r>
      <w:r>
        <w:rPr>
          <w:rFonts w:hint="eastAsia" w:ascii="宋体" w:hAnsi="宋体" w:eastAsia="宋体" w:cs="宋体"/>
          <w:color w:val="666666"/>
          <w:spacing w:val="10"/>
          <w:kern w:val="0"/>
          <w:sz w:val="19"/>
          <w:szCs w:val="19"/>
          <w:u w:val="none"/>
          <w:bdr w:val="none" w:color="auto" w:sz="0" w:space="0"/>
          <w:shd w:val="clear" w:fill="FFFFFF"/>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62F7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2023-05-24T13:07:31Z</dcterms:created>
  <dc:creator>Administrator</dc:creator>
  <cp:lastModifiedBy>王英</cp:lastModifiedBy>
  <dcterms:modified xsi:type="dcterms:W3CDTF">2023-05-24T13:07:40Z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6E75093D457E49A9B32AC328BB62E256</vt:lpwstr>
  </property>
</Properties>
</file>