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4072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04072"/>
          <w:sz w:val="22"/>
          <w:szCs w:val="22"/>
          <w:bdr w:val="none" w:color="auto" w:sz="0" w:space="0"/>
        </w:rPr>
        <w:t>资源与环境工程学院非全日制环境工程专业硕士调剂通知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发布者：张妍发布时间：2023-03-30浏览次数：8637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5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各位考生：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    我院非全日制环境工程专业现接收调剂，欢迎符合条件考生报考。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一、调剂信息</w:t>
      </w:r>
    </w:p>
    <w:tbl>
      <w:tblPr>
        <w:tblW w:w="5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1840"/>
        <w:gridCol w:w="1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接收调剂专业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调剂计划</w:t>
            </w:r>
          </w:p>
        </w:tc>
        <w:tc>
          <w:tcPr>
            <w:tcW w:w="1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初试分数要求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085700资源与环境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0" w:beforeAutospacing="0" w:after="80" w:afterAutospacing="0" w:line="31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初试分数≥273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   注：本次接收的调剂生将与安徽长之源环境工程有限公司、安徽美自然环境科技有限公司联合培养，研究生第一年在合肥工业大学完成理论课程学习，第二年和第三年在联合培养企业完成学位论文工作，并享受企业的相关待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1、符合调入专业报考条件的考生。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2、初试成绩须达到第一志愿报考专业A类地区全国初试成绩基本要求，且满足环境工程专业初试分数线≥273。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3、调入专业与第一志愿报考专业相同或相近，在同一学科门类范围内。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4、初试科目与调入专业初试科目相同或相近，其中初试全国统一命题科目应与调入专业全国统一命题科目相同。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5、满足教育部规定的其它调剂录取条件。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三、调剂工作程序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1、学院将调剂复试通知报送学校审核同意后，在学院网站对外发布。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2、学院登录“全国硕士生招生调剂服务系统”发布调剂信息。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3、申请调剂考生自行登录“全国硕士生招生调剂服务系统”填报调剂志愿。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4、学院对申请调剂考生进行遴选，择优挑选参加复试考生。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5、学院将调剂复试考生名单报学校审核同意后，在学院网站对外公布，并向考生发出复试通知。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6、学院与联合培养企业共同组织复试，将调剂拟录取名单报学校审核同意后，在学院网站对外公布。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调剂复试形式为线上面试，满分值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150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分（其中综合面试分值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分，听力口语测试分值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50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有关复试要求详见学院网站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日发布的《资源与环境工程学院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年硕士研究生复试细则》。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五、调剂录取办法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按考生总成绩由高到低确定各学科（专业）拟录取名单，复试不合格者不予录取。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考生总成绩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考生初试成绩折合百分制×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70%+</w:t>
      </w:r>
      <w:r>
        <w:rPr>
          <w:rFonts w:hint="eastAsia" w:ascii="微软雅黑" w:hAnsi="微软雅黑" w:eastAsia="微软雅黑" w:cs="微软雅黑"/>
          <w:color w:val="00000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考生复试成绩折合百分制×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六、系统开放时间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调剂系统开放时间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u w:val="single"/>
          <w:bdr w:val="none" w:color="auto" w:sz="0" w:space="0"/>
          <w:shd w:val="clear" w:fill="FFFFFF"/>
          <w:lang w:val="en-US" w:eastAsia="zh-CN" w:bidi="ar"/>
        </w:rPr>
        <w:t>2023年4月6日6时～2023年4月6日18时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七、复试缴费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（一）缴费标准：参加复试考生均应缴纳加试费，非同等学力考生标准为每人80元，同等学力考生每人为120元。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（二）考生接到复试通知后，可登录合肥工业大学网站→选择机构设置→选择组织机构→进入财务处网站→选择缴费平台。用户名为考生编号，密码为考生身份证号，可使用开通快捷支付的银行卡进行支付。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（三）注意事项：请考生交费前，核实自己手机联系方式是否正确，以便将交费成功后的电子发票信息发送到考生手机上。缴费次日，可登录缴费网站打印电子缴费凭证。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八、联系方式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联系电话：0551-62901542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联系人：张老师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E-mail:hefeizhangyan@126.com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0" w:beforeAutospacing="0" w:after="80" w:afterAutospacing="0" w:line="315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                   资源与环境工程学院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0" w:beforeAutospacing="0" w:after="8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lang w:val="en-US" w:eastAsia="zh-CN" w:bidi="ar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 2023年3月30日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8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97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2023-05-24T13:24:50Z</dcterms:created>
  <dc:creator>Administrator</dc:creator>
  <cp:lastModifiedBy>王英</cp:lastModifiedBy>
  <dcterms:modified xsi:type="dcterms:W3CDTF">2023-05-24T13:24:57Z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9A2B357005A244EF88C2617C9DB8FA49</vt:lpwstr>
  </property>
</Properties>
</file>