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4E4E4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8"/>
          <w:szCs w:val="18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18"/>
          <w:szCs w:val="18"/>
          <w:bdr w:val="none" w:color="auto" w:sz="0" w:space="0"/>
          <w:lang w:val="en-US" w:eastAsia="zh-CN" w:bidi="ar"/>
        </w:rPr>
        <w:t>食品与生物工程学院调剂通知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发布时间：2023-04-04    阅读次数: 4746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各位考生：</w:t>
      </w:r>
      <w:r>
        <w:rPr>
          <w:rStyle w:val="5"/>
          <w:rFonts w:asciiTheme="minorHAnsi" w:hAnsiTheme="minorHAnsi" w:eastAsiaTheme="minorEastAsia" w:cstheme="minorBid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按学校工作安排，我院全日制</w:t>
      </w:r>
      <w:r>
        <w:rPr>
          <w:rFonts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0817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Z1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制药工程（学术型）专业现接收调剂，欢迎符合条件考生报考。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一、调剂信息</w:t>
      </w:r>
    </w:p>
    <w:tbl>
      <w:tblPr>
        <w:tblW w:w="55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50"/>
        <w:gridCol w:w="1230"/>
        <w:gridCol w:w="1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接收调剂专业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调剂计划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初试分数要求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default" w:ascii="Calibri" w:hAnsi="Calibri" w:eastAsia="Calibri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制药工程（学术型）</w:t>
            </w: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初试成绩≥</w:t>
            </w:r>
            <w:r>
              <w:rPr>
                <w:rFonts w:hint="default" w:ascii="Calibri" w:hAnsi="Calibri" w:eastAsia="Calibri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、须符合我校招生简章中规定的调入学科（专业）的报考条件。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、初试成绩须达到第一志愿报考学科（专业）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类地区全国初试成绩基本要求，且满足我校调入专业复试分数线。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、满足教育部规定的其它调剂录取条件。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满足我院规定的其它调剂录取条件。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考生本科专业与调入学科相同或相近专业：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制药工程、药学、药物分析、药物制剂、药物化学、食品科学与工程、食品质量与安全、生物工程。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三、调剂工作程序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、学院将调剂复试通知报送学校审核同意后，在学院网站对外发布。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、学院登录“全国硕士生招生调剂服务系统”发布调剂信息。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、申请调剂考生自行登录“全国硕士生招生调剂服务系统”填报调剂志愿。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、学院对申请调剂考生进行遴选，择优挑选参加复试考生。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、学院将调剂复试考生名单报学校审核同意后，在学院网站对外公布，并向考生发出复试通知。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、学院组织复试，将调剂拟录取名单报学校审核同意后，在学院网站对外公布。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、学院组织考生到校现场复试，满分值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150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分（其中综合面试分值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分，听力口语测试分值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50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按考生总成绩由高到低确定各学科（专业）拟录取名单。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    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考生总成绩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考生初试成绩折合百分制×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70%+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考生复试成绩折合百分制×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30%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    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、调剂复试办法与第一志愿考生复试办法相同，调剂具体要求、思想政治素质和品德考核、体检、录取办法、监督复议和其他事项等请参见学院网站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日发布的《食品与生物工程学院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年硕士研究生招生复试工作实施细则》。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t>综合面试实行一票否决制度，综合面试低于</w:t>
      </w: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t>60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t>分者不予录取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16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 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、学院网站将在通知公告中公布调剂复试名单，复试考生请于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时之前发邮件至spxyzs@163.com，邮件回复请按照以下格式：“本人参加复试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准考证号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专业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姓名”或“本人不参加复试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准考证号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专业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姓名”。相关材料经学院审核通过后，考生方可参加调剂，否则不予受理。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9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日复试资格审查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,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时间：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14:00-16:00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，地点：合工大翡翠湖校区食品与生物工程学院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会议室。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）学院审核考生本人准考证、身份证、缴费凭证、学历学位证书（应届本科生交验本人学生证，学生证丢失的考生请提供学院开具的在读证明）原件，同时收取考生在大学期间的成绩单原件以及身份证（正反面）复印件、学历学位证书（应届本科毕业生交学生证复印件或在读证明）复印件、缴费凭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2）少数民族考生身份以报考时查验的身份证为准，复试时不得更改。未通过网上学历(学籍)校验的考生需提供学历（学籍）认证报告。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、复试时间：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日上午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9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点开始，地点：合工大翡翠湖校区食品与生物工程学院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会议室。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五、系统开放时间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调剂系统开放时间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18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00 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时～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六、复试缴费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考生接到复试通知后，可登录合肥工业大学网站→选择机构设置→选择组织机构→进入财务处网站→选择缴费平台。用户名为考生编号，密码为考生身份证号，可使用开通快捷支付的银行卡进行支付。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注意事项：请考生交费前，核实自己手机联系方式是否正确，以便将交费成功后的电子发票信息发送到考生手机上。缴费次日，可登录缴费网站打印电子缴费凭证。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七、特别说明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对不符合规定或弄虚作假者，一经查实，视为资格审查不通过，不予复试。拟录取考生入学报到时，学院将对其资格审查材料再次审查，对不符合规定或弄虚作假者，取消入学资格。对于未进行资格审查放弃复试考生，学院将进行确认并做好记录</w:t>
      </w:r>
      <w:r>
        <w:rPr>
          <w:rFonts w:hint="default" w:ascii="仿宋_gb2312" w:hAnsi="仿宋_gb2312" w:eastAsia="仿宋_gb2312" w:cs="仿宋_gb2312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八、联系方式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     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联系电话：</w:t>
      </w: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0551-62901675                   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联系人：王老师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righ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                             </w:t>
      </w:r>
      <w:r>
        <w:rPr>
          <w:rStyle w:val="5"/>
          <w:rFonts w:asciiTheme="minorHAnsi" w:hAnsiTheme="minorHAnsi" w:eastAsiaTheme="minorEastAsia" w:cstheme="minorBid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  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食品与生物工程学院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8" w:lineRule="atLeast"/>
        <w:ind w:left="0" w:right="0"/>
        <w:jc w:val="right"/>
        <w:rPr>
          <w:sz w:val="27"/>
          <w:szCs w:val="27"/>
        </w:rPr>
      </w:pP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98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2023-05-24T14:37:53Z</dcterms:created>
  <dc:creator>Administrator</dc:creator>
  <cp:lastModifiedBy>王英</cp:lastModifiedBy>
  <dcterms:modified xsi:type="dcterms:W3CDTF">2023-05-24T14:37:59Z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0CD01A551FB44D2C81D71723B0CAD705</vt:lpwstr>
  </property>
</Properties>
</file>