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食品与生物工程学院关于接收非全日制硕士考生调剂申请的公告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发布时间：2023-04-04    阅读次数: 4113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根据我院第一志愿考生复试结果，本院现在开始接收非全日制</w:t>
      </w:r>
      <w:r>
        <w:rPr>
          <w:rFonts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086004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发酵工程（专业学位）专业硕士研究生调剂申请，具体如下：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asciiTheme="minorHAnsi" w:hAnsiTheme="minorHAnsi" w:eastAsiaTheme="minorEastAsia" w:cstheme="minorBid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一、非全日制生物与医药和药学硕士研究生接收调剂指标</w:t>
      </w:r>
    </w:p>
    <w:tbl>
      <w:tblPr>
        <w:tblW w:w="5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0"/>
        <w:gridCol w:w="173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招生专业代码及专业领域</w:t>
            </w:r>
          </w:p>
        </w:tc>
        <w:tc>
          <w:tcPr>
            <w:tcW w:w="1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本次接收调剂计划数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基本要求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086004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初试成绩≥</w:t>
            </w:r>
            <w:r>
              <w:rPr>
                <w:rFonts w:hint="default" w:ascii="Calibri" w:hAnsi="Calibri" w:eastAsia="Calibri" w:cs="Calibri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根据教育部《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年全国硕士研究生招生工作管理规定》（教学〔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〕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号），原则上我院非全日制硕士研究生招收在职定向就业人员。凡符合我校相关专业领域非全日制硕士研究生招生报考条件、复试基本要求、调剂政策的在职定向就业考生，可申请调剂。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、须符合调入专业的报考条件。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、初试成绩须达到第一志愿报考专业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类地区全国初试成绩基本要求，且满足我校调入专业初试分数线。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、调入专业与第一志愿报考专业相同或相近，在同一学科门类范围内。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、满足教育部规定的其它调剂录取条件。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、满足我院规定的其它调剂录取条件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考生本科专业与调入学科相同或相近专业：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食品科学与工程、食品质量与安全、生物工程、食品工程。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三、调剂工作程序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、学院将调剂复试通知报送学校审核同意后，在学院网站对外发布。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、学院登录“全国硕士生招生调剂服务系统”发布调剂信息。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、符合我院非全日制硕士研究生招收条件的调剂考生申请调剂时，考生须提前下载填写电子表格《调剂复试申请书》（附件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）和《在职定向考生承诺书》（附件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），并将填写签订好的《调剂复试申请书》和《在职定向考生承诺书》纸质版原件扫描合成为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PDF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文件后，于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日中午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12:00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之前发送至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spxyzs@163.com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邮箱。其中，《在职定向考生承诺书》单位意见部分须加盖考生所在单位人事部门公章，由负责人签字。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PDF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文件命名格式为：非全硕士调剂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姓名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拟调剂专业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相关材料经学院审核通过后，考生方可参加调剂，否则不予受理。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符合条件后考生自行登录“全国硕士生招生调剂服务系统”填报调剂志愿。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、学院对申请调剂考生进行遴选，择优挑选参加复试考生。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、学院将调剂复试考生名单报学校审核同意后，在学院网站对外公布，并向考生发出复试通知。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、学院组织复试，将调剂拟录取名单报学校审核同意后，在学院网站对外公布。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、学院组织考生到校现场复试，满分值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150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分（其中综合面试分值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分，听力口语测试分值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按考生总成绩由高到低确定各学科（专业）拟录取名单。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  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考生总成绩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考生初试成绩折合百分制×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70%+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考生复试成绩折合百分制×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  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、调剂复试办法与第一志愿考生复试办法相同，调剂具体要求、思想政治素质和品德考核、体检、录取办法、监督复议和其他事项等请参见学院网站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日发布的《食品与生物工程学院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年硕士研究生招生复试工作实施细则》。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综合面试实行一票否决制度，综合面试低于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60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t>分者不予录取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16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 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、学院网站将在通知公告中公布调剂复试名单，复试考生请于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时之前发邮件时请回复：“本人参加复试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准考证号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姓名”或“本人不参加复试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准考证号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专业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姓名”。相关材料经学院审核通过后，考生方可参加调剂，否则不予受理。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日复试资格审查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,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时间：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14:00-16:00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，地点：合工大翡翠湖校区食品与生物工程学院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）学院审核考生本人准考证、身份证、缴费凭证、学历学位证书原件，同时收取考生在大学期间的成绩单原件以及身份证（正反面）复印件、学历学位证书复印件、缴费凭证。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）少数民族考生身份以报考时查验的身份证为准，复试时不得更改。未通过网上学历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学籍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校验的考生需提供学历（学籍）认证报告。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、复试时间：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日上午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点开始，地点：合工大翡翠湖校区食品与生物工程学院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205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会议室。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五、系统开放时间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调剂系统开放时间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18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时～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06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：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00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说明：我院非全日制硕士校内校外调剂只接受一次（调剂系统只开放一次）。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六、复试缴费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七、特别说明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32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对不符合规定或弄虚作假者，一经查实，视为资格审查不通过，不予复试。拟录取考生入学报到时，学院将对其资格审查材料再次审查，对不符合规定或弄虚作假者，取消入学资格。对于未进行资格审查放弃复试考生，学院将进行确认并做好记录</w:t>
      </w:r>
      <w:r>
        <w:rPr>
          <w:rFonts w:ascii="仿宋_gb2312" w:hAnsi="仿宋_gb2312" w:eastAsia="仿宋_gb2312" w:cs="仿宋_gb2312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八、联系方式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 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联系电话：</w:t>
      </w:r>
      <w:r>
        <w:rPr>
          <w:rFonts w:asciiTheme="minorHAnsi" w:hAnsiTheme="minorHAnsi" w:eastAsiaTheme="minorEastAsia" w:cstheme="minorBid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</w:t>
      </w: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0551-62901675                    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联系人：王老师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"http://spysw.hfut.edu.cn/_upload/article/files/86/36/99399e884c5a84b909e0fa440437/eaced7f0-dd05-4646-abc7-2d4d8573fa4d.doc" </w:instrTex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color w:val="666666"/>
          <w:sz w:val="16"/>
          <w:szCs w:val="16"/>
          <w:u w:val="none"/>
          <w:bdr w:val="none" w:color="auto" w:sz="0" w:space="0"/>
        </w:rPr>
        <w:t>附件1：在职定向考生承诺书.doc.doc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hint="eastAsia" w:ascii="宋体" w:hAnsi="宋体" w:eastAsia="宋体" w:cs="宋体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"http://spysw.hfut.edu.cn/_upload/article/files/86/36/99399e884c5a84b909e0fa440437/feecb73c-d923-4ca2-a8a9-9f83d1f31ac3.doc" </w:instrTex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color w:val="666666"/>
          <w:sz w:val="16"/>
          <w:szCs w:val="16"/>
          <w:u w:val="none"/>
          <w:bdr w:val="none" w:color="auto" w:sz="0" w:space="0"/>
        </w:rPr>
        <w:t>附件2：调剂复试申请书.doc.doc</w:t>
      </w:r>
      <w:r>
        <w:rPr>
          <w:rFonts w:hint="eastAsia"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left"/>
        <w:rPr>
          <w:sz w:val="27"/>
          <w:szCs w:val="27"/>
        </w:rPr>
      </w:pPr>
      <w:r>
        <w:rPr>
          <w:rFonts w:hint="default" w:ascii="Calibri" w:hAnsi="Calibri" w:eastAsia="Calibri" w:cs="Calibri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right"/>
        <w:rPr>
          <w:sz w:val="27"/>
          <w:szCs w:val="27"/>
        </w:rPr>
      </w:pPr>
      <w:r>
        <w:rPr>
          <w:rStyle w:val="5"/>
          <w:rFonts w:hint="default" w:ascii="仿宋_gb2312" w:hAnsi="仿宋_gb2312" w:eastAsia="仿宋_gb2312" w:cs="仿宋_gb2312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                            </w:t>
      </w:r>
      <w:r>
        <w:rPr>
          <w:rStyle w:val="5"/>
          <w:rFonts w:asciiTheme="minorHAnsi" w:hAnsiTheme="minorHAnsi" w:eastAsiaTheme="minorEastAsia" w:cstheme="minorBid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    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食品与生物工程学院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8" w:lineRule="atLeast"/>
        <w:ind w:left="0" w:right="0"/>
        <w:jc w:val="right"/>
        <w:rPr>
          <w:sz w:val="27"/>
          <w:szCs w:val="27"/>
        </w:rPr>
      </w:pP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Style w:val="5"/>
          <w:rFonts w:hint="default" w:ascii="Calibri" w:hAnsi="Calibri" w:eastAsia="Calibri" w:cs="Calibri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Style w:val="5"/>
          <w:rFonts w:hint="eastAsia" w:ascii="宋体" w:hAnsi="宋体" w:eastAsia="宋体" w:cs="宋体"/>
          <w:b/>
          <w:bCs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BB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2023-05-24T14:37:31Z</dcterms:created>
  <dc:creator>Administrator</dc:creator>
  <cp:lastModifiedBy>王英</cp:lastModifiedBy>
  <dcterms:modified xsi:type="dcterms:W3CDTF">2023-05-24T14:37:37Z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F5B088F5D3774F4EA68392A3829450B8</vt:lpwstr>
  </property>
</Properties>
</file>