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ascii="微软雅黑" w:hAnsi="微软雅黑" w:eastAsia="微软雅黑" w:cs="微软雅黑"/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70C0"/>
          <w:sz w:val="20"/>
          <w:szCs w:val="20"/>
          <w:bdr w:val="none" w:color="auto" w:sz="0" w:space="0"/>
        </w:rPr>
        <w:t>吉林农业大学2023年拟接收调剂专业一览表（第二批）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  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bCs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调剂系统开放时间为2023年4月7日上午10：00，系统关闭时间为4月7日22:00。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tbl>
      <w:tblPr>
        <w:tblW w:w="7973" w:type="dxa"/>
        <w:tblCellSpacing w:w="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80"/>
        <w:gridCol w:w="1451"/>
        <w:gridCol w:w="231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接收调剂考生的学术条件要求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120300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农林经济管理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工商管理（非全日制）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人文学院、家政学院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030301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社会学</w:t>
            </w:r>
          </w:p>
        </w:tc>
        <w:tc>
          <w:tcPr>
            <w:tcW w:w="2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本科专业为社会学类专业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090501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动物遗传育种与繁殖</w:t>
            </w:r>
          </w:p>
        </w:tc>
        <w:tc>
          <w:tcPr>
            <w:tcW w:w="21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本科专业为动物生产类、动物医学类、水产养殖类、经济动物类、生物技术类等相关专业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090504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特种经济动物饲养</w:t>
            </w:r>
          </w:p>
        </w:tc>
        <w:tc>
          <w:tcPr>
            <w:tcW w:w="21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0905Z1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水生生物生产学</w:t>
            </w:r>
          </w:p>
        </w:tc>
        <w:tc>
          <w:tcPr>
            <w:tcW w:w="21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动物科学技术学院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095134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ascii="新宋体" w:hAnsi="新宋体" w:eastAsia="新宋体" w:cs="新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渔业发展</w:t>
            </w:r>
          </w:p>
        </w:tc>
        <w:tc>
          <w:tcPr>
            <w:tcW w:w="21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C2526E2"/>
    <w:rsid w:val="4C25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2023-04-19T02:45:00Z</dcterms:created>
  <dc:creator>晴天</dc:creator>
  <cp:lastModifiedBy>晴天</cp:lastModifiedBy>
  <dcterms:modified xsi:type="dcterms:W3CDTF">2023-04-19T02:45:59Z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E2FA21F82AE64BCBB0896350E0805295_11</vt:lpwstr>
  </property>
</Properties>
</file>